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E49" w:rsidRPr="006F24B5" w:rsidRDefault="00F566D2" w:rsidP="00B46797">
      <w:pPr>
        <w:jc w:val="both"/>
        <w:rPr>
          <w:rFonts w:ascii="Times New Roman" w:hAnsi="Times New Roman" w:cs="Times New Roman"/>
          <w:sz w:val="36"/>
          <w:szCs w:val="36"/>
        </w:rPr>
      </w:pPr>
      <w:r>
        <w:rPr>
          <w:rFonts w:ascii="Times New Roman" w:hAnsi="Times New Roman" w:cs="Times New Roman"/>
          <w:noProof/>
          <w:sz w:val="36"/>
          <w:szCs w:val="36"/>
        </w:rPr>
        <w:pict>
          <v:rect id="_x0000_s1026" style="position:absolute;left:0;text-align:left;margin-left:-76.5pt;margin-top:-73.5pt;width:55.5pt;height:260.05pt;z-index:251663360" fillcolor="#1f497d [3215]" strokecolor="#1f497d [3215]" strokeweight="3pt">
            <v:shadow on="t" type="perspective" color="#243f60 [1604]" opacity=".5" offset="1pt" offset2="-1pt"/>
          </v:rect>
        </w:pict>
      </w:r>
    </w:p>
    <w:p w:rsidR="00905A1B" w:rsidRDefault="00905A1B" w:rsidP="004859E0">
      <w:pPr>
        <w:pStyle w:val="Heading1"/>
        <w:jc w:val="center"/>
      </w:pPr>
    </w:p>
    <w:p w:rsidR="00A537FF" w:rsidRPr="00801E2B" w:rsidRDefault="004859E0" w:rsidP="00A537FF">
      <w:pPr>
        <w:suppressAutoHyphens/>
        <w:autoSpaceDE w:val="0"/>
        <w:spacing w:after="0" w:line="240" w:lineRule="auto"/>
        <w:jc w:val="center"/>
        <w:rPr>
          <w:rFonts w:ascii="Times New Roman" w:eastAsia="Times New Roman" w:hAnsi="Times New Roman" w:cs="Times New Roman"/>
          <w:b/>
          <w:bCs/>
          <w:color w:val="000000"/>
          <w:sz w:val="32"/>
          <w:szCs w:val="32"/>
          <w:lang w:eastAsia="ar-SA"/>
        </w:rPr>
      </w:pPr>
      <w:r>
        <w:br/>
      </w:r>
      <w:r w:rsidR="00A537FF">
        <w:rPr>
          <w:rFonts w:ascii="Times New Roman" w:eastAsia="Times New Roman" w:hAnsi="Times New Roman" w:cs="Times New Roman"/>
          <w:b/>
          <w:bCs/>
          <w:color w:val="000000"/>
          <w:sz w:val="32"/>
          <w:szCs w:val="32"/>
          <w:lang w:eastAsia="ar-SA"/>
        </w:rPr>
        <w:t>EVALUATION OF ANTICANCER, ANTIVIRAL AND HEPATIC PROTECTIVE ACTIVITIES OF PMF DERIVED FROM CAMEL URINE</w:t>
      </w:r>
    </w:p>
    <w:p w:rsidR="00A537FF" w:rsidRPr="00A537FF" w:rsidRDefault="004859E0" w:rsidP="00A537FF">
      <w:pPr>
        <w:suppressAutoHyphens/>
        <w:autoSpaceDE w:val="0"/>
        <w:spacing w:after="0" w:line="240" w:lineRule="auto"/>
        <w:jc w:val="center"/>
        <w:rPr>
          <w:rFonts w:ascii="Times New Roman" w:eastAsia="Times New Roman" w:hAnsi="Times New Roman" w:cs="Times New Roman"/>
          <w:color w:val="000000"/>
          <w:sz w:val="24"/>
          <w:szCs w:val="24"/>
          <w:vertAlign w:val="superscript"/>
          <w:lang w:eastAsia="ar-SA"/>
        </w:rPr>
      </w:pPr>
      <w:r>
        <w:rPr>
          <w:rFonts w:ascii="Times New Roman" w:hAnsi="Times New Roman" w:cs="Times New Roman"/>
          <w:sz w:val="24"/>
          <w:szCs w:val="24"/>
        </w:rPr>
        <w:br/>
      </w:r>
      <w:r w:rsidR="00A537FF" w:rsidRPr="00A537FF">
        <w:rPr>
          <w:rFonts w:ascii="Times New Roman" w:eastAsia="Times New Roman" w:hAnsi="Times New Roman" w:cs="Times New Roman"/>
          <w:color w:val="000000"/>
          <w:sz w:val="24"/>
          <w:szCs w:val="24"/>
          <w:lang w:eastAsia="ar-SA"/>
        </w:rPr>
        <w:t>FatenAbdulRahmanKhorshid, PhD</w:t>
      </w:r>
      <w:r w:rsidR="00A537FF" w:rsidRPr="00A537FF">
        <w:rPr>
          <w:rFonts w:ascii="Times New Roman" w:eastAsia="Times New Roman" w:hAnsi="Times New Roman" w:cs="Times New Roman"/>
          <w:color w:val="000000"/>
          <w:sz w:val="24"/>
          <w:szCs w:val="24"/>
          <w:vertAlign w:val="superscript"/>
          <w:lang w:eastAsia="ar-SA"/>
        </w:rPr>
        <w:t>1</w:t>
      </w:r>
      <w:r w:rsidR="00A537FF" w:rsidRPr="00A537FF">
        <w:rPr>
          <w:rFonts w:ascii="Times New Roman" w:eastAsia="Times New Roman" w:hAnsi="Times New Roman" w:cs="Times New Roman"/>
          <w:color w:val="000000"/>
          <w:sz w:val="24"/>
          <w:szCs w:val="24"/>
          <w:lang w:eastAsia="ar-SA"/>
        </w:rPr>
        <w:t xml:space="preserve">, SnaaGhazy Al-Attas, PhD </w:t>
      </w:r>
      <w:r w:rsidR="00A537FF" w:rsidRPr="00A537FF">
        <w:rPr>
          <w:rFonts w:ascii="Times New Roman" w:eastAsia="Times New Roman" w:hAnsi="Times New Roman" w:cs="Times New Roman"/>
          <w:color w:val="000000"/>
          <w:sz w:val="24"/>
          <w:szCs w:val="24"/>
          <w:vertAlign w:val="superscript"/>
          <w:lang w:eastAsia="ar-SA"/>
        </w:rPr>
        <w:t>2</w:t>
      </w:r>
      <w:r w:rsidR="00A537FF" w:rsidRPr="00A537FF">
        <w:rPr>
          <w:rFonts w:ascii="Times New Roman" w:eastAsia="Times New Roman" w:hAnsi="Times New Roman" w:cs="Times New Roman"/>
          <w:color w:val="000000"/>
          <w:sz w:val="24"/>
          <w:szCs w:val="24"/>
          <w:lang w:eastAsia="ar-SA"/>
        </w:rPr>
        <w:t xml:space="preserve">, Yossery A Elsourojy, </w:t>
      </w:r>
      <w:r w:rsidR="00A537FF">
        <w:rPr>
          <w:rFonts w:ascii="Times New Roman" w:eastAsia="Times New Roman" w:hAnsi="Times New Roman" w:cs="Times New Roman"/>
          <w:color w:val="000000"/>
          <w:sz w:val="24"/>
          <w:szCs w:val="24"/>
          <w:lang w:eastAsia="ar-SA"/>
        </w:rPr>
        <w:t>MSc</w:t>
      </w:r>
      <w:r w:rsidR="00A537FF" w:rsidRPr="00A537FF">
        <w:rPr>
          <w:rFonts w:ascii="Times New Roman" w:eastAsia="Times New Roman" w:hAnsi="Times New Roman" w:cs="Times New Roman"/>
          <w:color w:val="000000"/>
          <w:sz w:val="24"/>
          <w:szCs w:val="24"/>
          <w:vertAlign w:val="superscript"/>
          <w:lang w:eastAsia="ar-SA"/>
        </w:rPr>
        <w:t>3</w:t>
      </w:r>
      <w:r w:rsidR="00A537FF" w:rsidRPr="00A537FF">
        <w:rPr>
          <w:rFonts w:ascii="Times New Roman" w:eastAsia="Times New Roman" w:hAnsi="Times New Roman" w:cs="Times New Roman"/>
          <w:color w:val="000000"/>
          <w:sz w:val="24"/>
          <w:szCs w:val="24"/>
          <w:lang w:eastAsia="ar-SA"/>
        </w:rPr>
        <w:t xml:space="preserve">, </w:t>
      </w:r>
      <w:r w:rsidR="00A537FF" w:rsidRPr="00A537FF">
        <w:rPr>
          <w:rFonts w:ascii="Times New Roman" w:eastAsia="Calibri" w:hAnsi="Times New Roman" w:cs="Times New Roman"/>
          <w:color w:val="0D0D0D"/>
          <w:sz w:val="24"/>
          <w:szCs w:val="24"/>
        </w:rPr>
        <w:t xml:space="preserve">Samah Omer Noor, PhD </w:t>
      </w:r>
      <w:r w:rsidR="00A537FF" w:rsidRPr="00A537FF">
        <w:rPr>
          <w:rFonts w:ascii="Times New Roman" w:eastAsia="Calibri" w:hAnsi="Times New Roman" w:cs="Times New Roman"/>
          <w:color w:val="0D0D0D"/>
          <w:sz w:val="24"/>
          <w:szCs w:val="24"/>
          <w:vertAlign w:val="superscript"/>
        </w:rPr>
        <w:t>4</w:t>
      </w:r>
      <w:r w:rsidR="00A537FF" w:rsidRPr="00A537FF">
        <w:rPr>
          <w:rFonts w:ascii="Times New Roman" w:eastAsia="Calibri" w:hAnsi="Times New Roman" w:cs="Times New Roman"/>
          <w:color w:val="0D0D0D"/>
          <w:sz w:val="24"/>
          <w:szCs w:val="24"/>
        </w:rPr>
        <w:t xml:space="preserve">, </w:t>
      </w:r>
      <w:r w:rsidR="00A537FF" w:rsidRPr="00A537FF">
        <w:rPr>
          <w:rFonts w:ascii="Times New Roman" w:eastAsia="Times New Roman" w:hAnsi="Times New Roman" w:cs="Times New Roman"/>
          <w:color w:val="000000"/>
          <w:sz w:val="24"/>
          <w:szCs w:val="24"/>
          <w:lang w:eastAsia="ar-SA"/>
        </w:rPr>
        <w:t xml:space="preserve">NagwaTawfik, </w:t>
      </w:r>
      <w:r w:rsidR="00A537FF">
        <w:rPr>
          <w:rFonts w:ascii="Times New Roman" w:eastAsia="Times New Roman" w:hAnsi="Times New Roman" w:cs="Times New Roman"/>
        </w:rPr>
        <w:t>BSc</w:t>
      </w:r>
      <w:r w:rsidR="00A537FF" w:rsidRPr="00A537FF">
        <w:rPr>
          <w:rFonts w:ascii="Times New Roman" w:eastAsia="Times New Roman" w:hAnsi="Times New Roman" w:cs="Times New Roman"/>
          <w:color w:val="000000"/>
          <w:sz w:val="24"/>
          <w:szCs w:val="24"/>
          <w:vertAlign w:val="superscript"/>
          <w:lang w:eastAsia="ar-SA"/>
        </w:rPr>
        <w:t>5</w:t>
      </w:r>
      <w:r w:rsidR="00A537FF" w:rsidRPr="00A537FF">
        <w:rPr>
          <w:rFonts w:ascii="Times New Roman" w:eastAsia="Times New Roman" w:hAnsi="Times New Roman" w:cs="Times New Roman"/>
          <w:color w:val="000000"/>
          <w:sz w:val="24"/>
          <w:szCs w:val="24"/>
          <w:lang w:eastAsia="ar-SA"/>
        </w:rPr>
        <w:t xml:space="preserve">, RandaMohessenAlshehri, </w:t>
      </w:r>
      <w:r w:rsidR="00A537FF">
        <w:rPr>
          <w:rFonts w:ascii="Times New Roman" w:eastAsia="Times New Roman" w:hAnsi="Times New Roman" w:cs="Times New Roman"/>
        </w:rPr>
        <w:t>BSc</w:t>
      </w:r>
      <w:r w:rsidR="00A537FF" w:rsidRPr="00A537FF">
        <w:rPr>
          <w:rFonts w:ascii="Times New Roman" w:eastAsia="Times New Roman" w:hAnsi="Times New Roman" w:cs="Times New Roman"/>
          <w:color w:val="000000"/>
          <w:sz w:val="24"/>
          <w:szCs w:val="24"/>
          <w:vertAlign w:val="superscript"/>
          <w:lang w:eastAsia="ar-SA"/>
        </w:rPr>
        <w:t xml:space="preserve"> 6</w:t>
      </w:r>
    </w:p>
    <w:p w:rsidR="009D53FA" w:rsidRDefault="009D53FA" w:rsidP="00A537FF">
      <w:pPr>
        <w:autoSpaceDE w:val="0"/>
        <w:autoSpaceDN w:val="0"/>
        <w:adjustRightInd w:val="0"/>
        <w:spacing w:after="0" w:line="240" w:lineRule="auto"/>
        <w:jc w:val="center"/>
        <w:rPr>
          <w:rFonts w:ascii="Times New Roman" w:hAnsi="Times New Roman" w:cs="Times New Roman"/>
          <w:sz w:val="24"/>
          <w:szCs w:val="24"/>
        </w:rPr>
      </w:pPr>
    </w:p>
    <w:p w:rsidR="00A537FF" w:rsidRPr="00A537FF" w:rsidRDefault="00A537FF" w:rsidP="00A537FF">
      <w:pPr>
        <w:spacing w:line="240" w:lineRule="auto"/>
        <w:contextualSpacing/>
        <w:jc w:val="center"/>
        <w:rPr>
          <w:rFonts w:ascii="Times New Roman" w:eastAsia="Calibri" w:hAnsi="Times New Roman" w:cs="Times New Roman"/>
          <w:b/>
          <w:color w:val="0D0D0D"/>
          <w:sz w:val="20"/>
          <w:szCs w:val="20"/>
        </w:rPr>
      </w:pPr>
      <w:r w:rsidRPr="00A537FF">
        <w:rPr>
          <w:rFonts w:ascii="Times New Roman" w:eastAsia="Times New Roman" w:hAnsi="Times New Roman" w:cs="Times New Roman"/>
          <w:b/>
          <w:sz w:val="20"/>
          <w:szCs w:val="20"/>
          <w:vertAlign w:val="superscript"/>
        </w:rPr>
        <w:t>1</w:t>
      </w:r>
      <w:r w:rsidRPr="00A537FF">
        <w:rPr>
          <w:rFonts w:ascii="Times New Roman" w:eastAsia="Times New Roman" w:hAnsi="Times New Roman" w:cs="Times New Roman"/>
          <w:b/>
          <w:sz w:val="20"/>
          <w:szCs w:val="20"/>
        </w:rPr>
        <w:t xml:space="preserve">Department of Biology, Faculty of Science, </w:t>
      </w:r>
      <w:r w:rsidRPr="00A537FF">
        <w:rPr>
          <w:rFonts w:ascii="Times New Roman" w:eastAsia="Calibri" w:hAnsi="Times New Roman" w:cs="Times New Roman"/>
          <w:b/>
          <w:color w:val="0D0D0D"/>
          <w:sz w:val="20"/>
          <w:szCs w:val="20"/>
        </w:rPr>
        <w:t>King Abdulaziz University, Jeddah 21589, Saudi Arabia.</w:t>
      </w:r>
    </w:p>
    <w:p w:rsidR="00A537FF" w:rsidRPr="00A537FF" w:rsidRDefault="00A537FF" w:rsidP="00A537FF">
      <w:pPr>
        <w:suppressAutoHyphens/>
        <w:autoSpaceDE w:val="0"/>
        <w:spacing w:after="0" w:line="240" w:lineRule="auto"/>
        <w:contextualSpacing/>
        <w:jc w:val="center"/>
        <w:rPr>
          <w:rFonts w:ascii="Times New Roman" w:eastAsia="Times New Roman" w:hAnsi="Times New Roman" w:cs="Times New Roman"/>
          <w:b/>
          <w:sz w:val="20"/>
          <w:szCs w:val="20"/>
        </w:rPr>
      </w:pPr>
      <w:r w:rsidRPr="00A537FF">
        <w:rPr>
          <w:rFonts w:ascii="Times New Roman" w:eastAsia="Times New Roman" w:hAnsi="Times New Roman" w:cs="Times New Roman"/>
          <w:b/>
          <w:sz w:val="20"/>
          <w:szCs w:val="20"/>
          <w:vertAlign w:val="superscript"/>
        </w:rPr>
        <w:t>2</w:t>
      </w:r>
      <w:r w:rsidRPr="00A537FF">
        <w:rPr>
          <w:rFonts w:ascii="Times New Roman" w:eastAsia="Times New Roman" w:hAnsi="Times New Roman" w:cs="Times New Roman"/>
          <w:b/>
          <w:sz w:val="20"/>
          <w:szCs w:val="20"/>
        </w:rPr>
        <w:t>Development Researcher, Vacsera Egyptian Company for production of Vaccines, Sera &amp; Drugs, Giza-Egypt.</w:t>
      </w: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Pr="00905A1B" w:rsidRDefault="00905A1B" w:rsidP="00905A1B">
      <w:pPr>
        <w:autoSpaceDE w:val="0"/>
        <w:autoSpaceDN w:val="0"/>
        <w:adjustRightInd w:val="0"/>
        <w:spacing w:after="0" w:line="240" w:lineRule="auto"/>
        <w:jc w:val="center"/>
        <w:rPr>
          <w:rFonts w:ascii="Times New Roman" w:hAnsi="Times New Roman" w:cs="Times New Roman"/>
          <w:b/>
          <w:color w:val="548DD4" w:themeColor="text2" w:themeTint="99"/>
          <w:sz w:val="28"/>
          <w:szCs w:val="28"/>
        </w:rPr>
      </w:pPr>
    </w:p>
    <w:p w:rsidR="00905A1B" w:rsidRPr="00905A1B" w:rsidRDefault="00905A1B" w:rsidP="00905A1B">
      <w:pPr>
        <w:autoSpaceDE w:val="0"/>
        <w:autoSpaceDN w:val="0"/>
        <w:adjustRightInd w:val="0"/>
        <w:spacing w:after="0" w:line="240" w:lineRule="auto"/>
        <w:jc w:val="center"/>
        <w:rPr>
          <w:rFonts w:ascii="Times New Roman" w:hAnsi="Times New Roman" w:cs="Times New Roman"/>
          <w:b/>
          <w:color w:val="548DD4" w:themeColor="text2" w:themeTint="99"/>
          <w:sz w:val="28"/>
          <w:szCs w:val="28"/>
        </w:rPr>
      </w:pPr>
      <w:r w:rsidRPr="00905A1B">
        <w:rPr>
          <w:rFonts w:ascii="Times New Roman" w:hAnsi="Times New Roman" w:cs="Times New Roman"/>
          <w:b/>
          <w:color w:val="548DD4" w:themeColor="text2" w:themeTint="99"/>
          <w:sz w:val="28"/>
          <w:szCs w:val="28"/>
        </w:rPr>
        <w:t>International Journal of Drug Discovery and Development</w:t>
      </w:r>
    </w:p>
    <w:p w:rsidR="00905A1B" w:rsidRPr="00905A1B" w:rsidRDefault="00905A1B" w:rsidP="00905A1B">
      <w:pPr>
        <w:autoSpaceDE w:val="0"/>
        <w:autoSpaceDN w:val="0"/>
        <w:adjustRightInd w:val="0"/>
        <w:spacing w:after="0" w:line="240" w:lineRule="auto"/>
        <w:jc w:val="center"/>
        <w:rPr>
          <w:rFonts w:ascii="Times New Roman" w:hAnsi="Times New Roman" w:cs="Times New Roman"/>
          <w:color w:val="548DD4" w:themeColor="text2" w:themeTint="99"/>
          <w:sz w:val="24"/>
          <w:szCs w:val="24"/>
        </w:rPr>
      </w:pPr>
      <w:r w:rsidRPr="00905A1B">
        <w:rPr>
          <w:rFonts w:ascii="Times New Roman" w:hAnsi="Times New Roman" w:cs="Times New Roman"/>
          <w:color w:val="548DD4" w:themeColor="text2" w:themeTint="99"/>
          <w:sz w:val="24"/>
          <w:szCs w:val="24"/>
        </w:rPr>
        <w:t>(IJDDD)</w:t>
      </w: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905A1B" w:rsidRDefault="00905A1B" w:rsidP="006F24B5">
      <w:pPr>
        <w:autoSpaceDE w:val="0"/>
        <w:autoSpaceDN w:val="0"/>
        <w:adjustRightInd w:val="0"/>
        <w:spacing w:after="0" w:line="240" w:lineRule="auto"/>
        <w:rPr>
          <w:rFonts w:ascii="Times New Roman" w:hAnsi="Times New Roman" w:cs="Times New Roman"/>
          <w:sz w:val="24"/>
          <w:szCs w:val="24"/>
        </w:rPr>
      </w:pPr>
    </w:p>
    <w:p w:rsidR="00A537FF" w:rsidRDefault="00905A1B" w:rsidP="00F145B6">
      <w:pPr>
        <w:autoSpaceDE w:val="0"/>
        <w:autoSpaceDN w:val="0"/>
        <w:adjustRightInd w:val="0"/>
        <w:spacing w:after="0" w:line="240" w:lineRule="auto"/>
        <w:ind w:left="720" w:firstLine="720"/>
        <w:jc w:val="both"/>
        <w:rPr>
          <w:rFonts w:ascii="Times New Roman" w:hAnsi="Times New Roman" w:cs="Times New Roman"/>
          <w:b/>
        </w:rPr>
      </w:pPr>
      <w:r w:rsidRPr="00905A1B">
        <w:rPr>
          <w:rFonts w:ascii="Times New Roman" w:hAnsi="Times New Roman" w:cs="Times New Roman"/>
          <w:b/>
          <w:sz w:val="24"/>
          <w:szCs w:val="24"/>
        </w:rPr>
        <w:t>Corresponding Author</w:t>
      </w:r>
      <w:r>
        <w:rPr>
          <w:rFonts w:ascii="Times New Roman" w:hAnsi="Times New Roman" w:cs="Times New Roman"/>
          <w:sz w:val="24"/>
          <w:szCs w:val="24"/>
        </w:rPr>
        <w:t xml:space="preserve">: </w:t>
      </w:r>
      <w:r w:rsidR="00C521FE" w:rsidRPr="005A4D4A">
        <w:rPr>
          <w:rFonts w:ascii="Times New Roman" w:hAnsi="Times New Roman" w:cs="Times New Roman"/>
          <w:color w:val="0D0D0D"/>
          <w:sz w:val="24"/>
          <w:szCs w:val="24"/>
        </w:rPr>
        <w:t>Professor Faten</w:t>
      </w:r>
      <w:r w:rsidR="00F145B6">
        <w:rPr>
          <w:rFonts w:ascii="Times New Roman" w:hAnsi="Times New Roman" w:cs="Times New Roman"/>
          <w:color w:val="0D0D0D"/>
          <w:sz w:val="24"/>
          <w:szCs w:val="24"/>
        </w:rPr>
        <w:t xml:space="preserve"> Khorshid</w:t>
      </w:r>
      <w:r w:rsidR="00C521FE" w:rsidRPr="005A4D4A">
        <w:rPr>
          <w:rFonts w:ascii="Times New Roman" w:hAnsi="Times New Roman" w:cs="Times New Roman"/>
          <w:color w:val="0D0D0D"/>
          <w:sz w:val="24"/>
          <w:szCs w:val="24"/>
        </w:rPr>
        <w:t xml:space="preserve">  </w:t>
      </w:r>
    </w:p>
    <w:p w:rsidR="0057303F" w:rsidRDefault="009B7D5B" w:rsidP="00905A1B">
      <w:pPr>
        <w:pStyle w:val="NoSpacing"/>
        <w:rPr>
          <w:rFonts w:ascii="Times New Roman" w:eastAsia="Times New Roman" w:hAnsi="Times New Roman"/>
          <w:sz w:val="24"/>
          <w:szCs w:val="24"/>
          <w:lang w:val="en-GB" w:eastAsia="en-GB"/>
        </w:rPr>
      </w:pPr>
      <w:r>
        <w:rPr>
          <w:rFonts w:ascii="Times New Roman" w:hAnsi="Times New Roman" w:cs="Times New Roman"/>
          <w:b/>
        </w:rPr>
        <w:br/>
      </w:r>
      <w:r>
        <w:rPr>
          <w:rFonts w:ascii="Times New Roman" w:hAnsi="Times New Roman" w:cs="Times New Roman"/>
          <w:b/>
        </w:rPr>
        <w:br/>
      </w:r>
    </w:p>
    <w:p w:rsidR="00262B13" w:rsidRPr="0057303F" w:rsidRDefault="00262B13" w:rsidP="0057303F">
      <w:pPr>
        <w:autoSpaceDE w:val="0"/>
        <w:autoSpaceDN w:val="0"/>
        <w:adjustRightInd w:val="0"/>
        <w:spacing w:after="0" w:line="240" w:lineRule="auto"/>
        <w:rPr>
          <w:rFonts w:ascii="Times New Roman" w:hAnsi="Times New Roman" w:cs="Times New Roman"/>
          <w:sz w:val="24"/>
          <w:szCs w:val="24"/>
        </w:rPr>
      </w:pPr>
    </w:p>
    <w:p w:rsidR="00905A1B" w:rsidRDefault="00905A1B">
      <w:pPr>
        <w:rPr>
          <w:rFonts w:ascii="Times New Roman" w:hAnsi="Times New Roman" w:cs="Times New Roman"/>
          <w:sz w:val="40"/>
          <w:szCs w:val="40"/>
        </w:rPr>
      </w:pPr>
      <w:bookmarkStart w:id="0" w:name="_GoBack"/>
      <w:bookmarkEnd w:id="0"/>
    </w:p>
    <w:p w:rsidR="00A537FF" w:rsidRDefault="00A537FF">
      <w:pPr>
        <w:rPr>
          <w:rFonts w:ascii="Times New Roman" w:hAnsi="Times New Roman" w:cs="Times New Roman"/>
          <w:sz w:val="40"/>
          <w:szCs w:val="40"/>
        </w:rPr>
      </w:pPr>
    </w:p>
    <w:p w:rsidR="00262B13" w:rsidRPr="00905A1B" w:rsidRDefault="00262B13">
      <w:pPr>
        <w:rPr>
          <w:rFonts w:ascii="Times New Roman" w:hAnsi="Times New Roman" w:cs="Times New Roman"/>
          <w:sz w:val="20"/>
          <w:szCs w:val="20"/>
        </w:rPr>
      </w:pPr>
      <w:r w:rsidRPr="00905A1B">
        <w:rPr>
          <w:rFonts w:ascii="Times New Roman" w:hAnsi="Times New Roman" w:cs="Times New Roman"/>
          <w:sz w:val="20"/>
          <w:szCs w:val="20"/>
        </w:rPr>
        <w:br w:type="page"/>
      </w:r>
    </w:p>
    <w:p w:rsidR="00A537FF" w:rsidRPr="00A537FF" w:rsidRDefault="00A537FF" w:rsidP="00A537FF">
      <w:pPr>
        <w:spacing w:line="240" w:lineRule="auto"/>
        <w:jc w:val="both"/>
        <w:rPr>
          <w:rFonts w:ascii="Times New Roman" w:eastAsia="Calibri" w:hAnsi="Times New Roman" w:cs="Times New Roman"/>
          <w:b/>
          <w:bCs/>
          <w:sz w:val="24"/>
          <w:szCs w:val="24"/>
        </w:rPr>
      </w:pPr>
      <w:r w:rsidRPr="00A537FF">
        <w:rPr>
          <w:rFonts w:ascii="Times New Roman" w:eastAsia="Calibri" w:hAnsi="Times New Roman" w:cs="Times New Roman"/>
          <w:b/>
          <w:bCs/>
          <w:sz w:val="24"/>
          <w:szCs w:val="24"/>
        </w:rPr>
        <w:lastRenderedPageBreak/>
        <w:t>Abstract</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Over years antiviral and anticancer drugs are continuously produced, </w:t>
      </w:r>
      <w:r w:rsidRPr="00A537FF">
        <w:rPr>
          <w:rFonts w:ascii="Times New Roman" w:eastAsia="Calibri" w:hAnsi="Times New Roman" w:cs="Times New Roman"/>
          <w:noProof/>
          <w:sz w:val="24"/>
          <w:szCs w:val="24"/>
        </w:rPr>
        <w:t>however</w:t>
      </w:r>
      <w:r w:rsidRPr="00A537FF">
        <w:rPr>
          <w:rFonts w:ascii="Times New Roman" w:eastAsia="Calibri" w:hAnsi="Times New Roman" w:cs="Times New Roman"/>
          <w:sz w:val="24"/>
          <w:szCs w:val="24"/>
        </w:rPr>
        <w:t xml:space="preserve">, no cure can be produced yet. Different studies were conducted to produce protective medicine using various natural and artificial sources but none has succeeded. This study aimed to investigate the </w:t>
      </w:r>
      <w:r w:rsidRPr="00A537FF">
        <w:rPr>
          <w:rFonts w:ascii="Times New Roman" w:eastAsia="Calibri" w:hAnsi="Times New Roman" w:cs="Times New Roman"/>
          <w:i/>
          <w:iCs/>
          <w:sz w:val="24"/>
          <w:szCs w:val="24"/>
        </w:rPr>
        <w:t>in vitro</w:t>
      </w:r>
      <w:r w:rsidRPr="00A537FF">
        <w:rPr>
          <w:rFonts w:ascii="Times New Roman" w:eastAsia="Calibri" w:hAnsi="Times New Roman" w:cs="Times New Roman"/>
          <w:sz w:val="24"/>
          <w:szCs w:val="24"/>
        </w:rPr>
        <w:t xml:space="preserve"> anticancer and antiviral activities and  the</w:t>
      </w:r>
      <w:r w:rsidRPr="00A537FF">
        <w:rPr>
          <w:rFonts w:ascii="Times New Roman" w:eastAsia="Calibri" w:hAnsi="Times New Roman" w:cs="Times New Roman"/>
          <w:i/>
          <w:iCs/>
          <w:sz w:val="24"/>
          <w:szCs w:val="24"/>
        </w:rPr>
        <w:t>in vivo</w:t>
      </w:r>
      <w:r w:rsidRPr="00A537FF">
        <w:rPr>
          <w:rFonts w:ascii="Times New Roman" w:eastAsia="Calibri" w:hAnsi="Times New Roman" w:cs="Times New Roman"/>
          <w:sz w:val="24"/>
          <w:szCs w:val="24"/>
        </w:rPr>
        <w:t xml:space="preserve">hepatoprotective effect of PMF derived from camel urine.. The </w:t>
      </w:r>
      <w:r w:rsidRPr="00A537FF">
        <w:rPr>
          <w:rFonts w:ascii="Times New Roman" w:eastAsia="Calibri" w:hAnsi="Times New Roman" w:cs="Times New Roman"/>
          <w:i/>
          <w:iCs/>
          <w:sz w:val="24"/>
          <w:szCs w:val="24"/>
        </w:rPr>
        <w:t>in vitro</w:t>
      </w:r>
      <w:r w:rsidRPr="00A537FF">
        <w:rPr>
          <w:rFonts w:ascii="Times New Roman" w:eastAsia="Calibri" w:hAnsi="Times New Roman" w:cs="Times New Roman"/>
          <w:sz w:val="24"/>
          <w:szCs w:val="24"/>
        </w:rPr>
        <w:t xml:space="preserve"> results showed that toxicity inducing by PMF concentration to Vero cells was significantly lower than that </w:t>
      </w:r>
      <w:r w:rsidRPr="00A537FF">
        <w:rPr>
          <w:rFonts w:ascii="Times New Roman" w:eastAsia="Calibri" w:hAnsi="Times New Roman" w:cs="Times New Roman"/>
          <w:noProof/>
          <w:sz w:val="24"/>
          <w:szCs w:val="24"/>
        </w:rPr>
        <w:t>of</w:t>
      </w:r>
      <w:r w:rsidRPr="00A537FF">
        <w:rPr>
          <w:rFonts w:ascii="Times New Roman" w:eastAsia="Calibri" w:hAnsi="Times New Roman" w:cs="Times New Roman"/>
          <w:sz w:val="24"/>
          <w:szCs w:val="24"/>
        </w:rPr>
        <w:t xml:space="preserve"> hepatic cancer cell line model (HEPG-2) (</w:t>
      </w:r>
      <w:r w:rsidRPr="00A537FF">
        <w:rPr>
          <w:rFonts w:ascii="Times New Roman" w:eastAsia="Calibri" w:hAnsi="Times New Roman" w:cs="Times New Roman"/>
          <w:i/>
          <w:iCs/>
          <w:sz w:val="24"/>
          <w:szCs w:val="24"/>
        </w:rPr>
        <w:t>P</w:t>
      </w:r>
      <w:r w:rsidRPr="00A537FF">
        <w:rPr>
          <w:rFonts w:ascii="Times New Roman" w:eastAsia="Calibri" w:hAnsi="Times New Roman" w:cs="Times New Roman"/>
          <w:sz w:val="24"/>
          <w:szCs w:val="24"/>
        </w:rPr>
        <w:t xml:space="preserve">&lt;0.05). PMF had promising virucide effect as vesicular stomatitis virus(VSV) activity was completely inhibited by 75 minutes post treatment with PMF. </w:t>
      </w:r>
      <w:r w:rsidRPr="00A537FF">
        <w:rPr>
          <w:rFonts w:ascii="Times New Roman" w:eastAsia="Calibri" w:hAnsi="Times New Roman" w:cs="Times New Roman"/>
          <w:i/>
          <w:iCs/>
          <w:sz w:val="24"/>
          <w:szCs w:val="24"/>
        </w:rPr>
        <w:t>In vivo</w:t>
      </w:r>
      <w:r w:rsidRPr="00A537FF">
        <w:rPr>
          <w:rFonts w:ascii="Times New Roman" w:eastAsia="Calibri" w:hAnsi="Times New Roman" w:cs="Times New Roman"/>
          <w:sz w:val="24"/>
          <w:szCs w:val="24"/>
        </w:rPr>
        <w:t xml:space="preserve"> study revealed that oral PMF administration for 90 days led to hepatic protective activity against carbon tetrachloride (CCl4) induced liver damage in rats</w:t>
      </w:r>
      <w:r w:rsidRPr="00A537FF">
        <w:rPr>
          <w:rFonts w:ascii="Times New Roman" w:eastAsia="Calibri" w:hAnsi="Times New Roman" w:cs="Times New Roman"/>
          <w:sz w:val="24"/>
          <w:szCs w:val="24"/>
          <w:rtl/>
        </w:rPr>
        <w:t>.</w:t>
      </w:r>
      <w:r w:rsidRPr="00A537FF">
        <w:rPr>
          <w:rFonts w:ascii="Times New Roman" w:eastAsia="Calibri" w:hAnsi="Times New Roman" w:cs="Times New Roman"/>
          <w:sz w:val="24"/>
          <w:szCs w:val="24"/>
        </w:rPr>
        <w:t xml:space="preserve"> In conclusions, PMF is a promising bio-product from camel urine showed antiviral and anticancer potentials </w:t>
      </w:r>
      <w:r w:rsidRPr="00A537FF">
        <w:rPr>
          <w:rFonts w:ascii="Times New Roman" w:eastAsia="Calibri" w:hAnsi="Times New Roman" w:cs="Times New Roman"/>
          <w:i/>
          <w:iCs/>
          <w:sz w:val="24"/>
          <w:szCs w:val="24"/>
        </w:rPr>
        <w:t>in vitro</w:t>
      </w:r>
      <w:r w:rsidRPr="00A537FF">
        <w:rPr>
          <w:rFonts w:ascii="Times New Roman" w:eastAsia="Calibri" w:hAnsi="Times New Roman" w:cs="Times New Roman"/>
          <w:sz w:val="24"/>
          <w:szCs w:val="24"/>
        </w:rPr>
        <w:t xml:space="preserve"> on cell lines and hepatic protective effects </w:t>
      </w:r>
      <w:r w:rsidRPr="00A537FF">
        <w:rPr>
          <w:rFonts w:ascii="Times New Roman" w:eastAsia="Calibri" w:hAnsi="Times New Roman" w:cs="Times New Roman"/>
          <w:i/>
          <w:iCs/>
          <w:sz w:val="24"/>
          <w:szCs w:val="24"/>
        </w:rPr>
        <w:t>in vivo</w:t>
      </w:r>
      <w:r w:rsidRPr="00A537FF">
        <w:rPr>
          <w:rFonts w:ascii="Times New Roman" w:eastAsia="Calibri" w:hAnsi="Times New Roman" w:cs="Times New Roman"/>
          <w:noProof/>
          <w:sz w:val="24"/>
          <w:szCs w:val="24"/>
        </w:rPr>
        <w:t>in</w:t>
      </w:r>
      <w:r w:rsidRPr="00A537FF">
        <w:rPr>
          <w:rFonts w:ascii="Times New Roman" w:eastAsia="Calibri" w:hAnsi="Times New Roman" w:cs="Times New Roman"/>
          <w:sz w:val="24"/>
          <w:szCs w:val="24"/>
        </w:rPr>
        <w:t xml:space="preserve"> CCl4 treated rats.</w:t>
      </w:r>
    </w:p>
    <w:p w:rsidR="00A537FF" w:rsidRPr="00A537FF" w:rsidRDefault="00A537FF" w:rsidP="00A537FF">
      <w:pPr>
        <w:spacing w:line="240" w:lineRule="auto"/>
        <w:jc w:val="center"/>
        <w:rPr>
          <w:rFonts w:ascii="Times New Roman" w:eastAsia="Calibri" w:hAnsi="Times New Roman" w:cs="Times New Roman"/>
          <w:sz w:val="24"/>
          <w:szCs w:val="24"/>
        </w:rPr>
      </w:pPr>
      <w:r w:rsidRPr="00A537FF">
        <w:rPr>
          <w:rFonts w:ascii="Times New Roman" w:eastAsia="Calibri" w:hAnsi="Times New Roman" w:cs="Times New Roman"/>
          <w:b/>
          <w:bCs/>
          <w:sz w:val="24"/>
          <w:szCs w:val="24"/>
        </w:rPr>
        <w:t>Keywords:</w:t>
      </w:r>
      <w:r w:rsidRPr="00A537FF">
        <w:rPr>
          <w:rFonts w:ascii="Times New Roman" w:eastAsia="Calibri" w:hAnsi="Times New Roman" w:cs="Times New Roman"/>
          <w:sz w:val="24"/>
          <w:szCs w:val="24"/>
        </w:rPr>
        <w:t xml:space="preserve"> Anticancer drug; antiviral activity, camel urine, HEPG-2, PMF, VSV.</w:t>
      </w:r>
    </w:p>
    <w:p w:rsidR="00A537FF" w:rsidRPr="00A537FF" w:rsidRDefault="00A537FF" w:rsidP="00A537FF">
      <w:pPr>
        <w:spacing w:line="240" w:lineRule="auto"/>
        <w:rPr>
          <w:rFonts w:ascii="Times New Roman" w:eastAsia="Calibri" w:hAnsi="Times New Roman" w:cs="Times New Roman"/>
          <w:b/>
          <w:bCs/>
          <w:sz w:val="24"/>
          <w:szCs w:val="24"/>
        </w:rPr>
      </w:pPr>
      <w:r w:rsidRPr="00A537FF">
        <w:rPr>
          <w:rFonts w:ascii="Times New Roman" w:eastAsia="Calibri" w:hAnsi="Times New Roman" w:cs="Times New Roman"/>
          <w:b/>
          <w:bCs/>
          <w:sz w:val="24"/>
          <w:szCs w:val="24"/>
        </w:rPr>
        <w:t>1. Introduction</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Natural products play an important role in our healthcare system</w:t>
      </w:r>
      <w:r w:rsidR="004053EA" w:rsidRPr="00A537FF">
        <w:rPr>
          <w:rFonts w:ascii="Times New Roman" w:eastAsia="Calibri" w:hAnsi="Times New Roman" w:cs="Times New Roman"/>
          <w:b/>
          <w:bCs/>
          <w:color w:val="FF0000"/>
          <w:sz w:val="24"/>
          <w:szCs w:val="24"/>
        </w:rPr>
        <w:fldChar w:fldCharType="begin"/>
      </w:r>
      <w:r w:rsidRPr="00A537FF">
        <w:rPr>
          <w:rFonts w:ascii="Times New Roman" w:eastAsia="Calibri" w:hAnsi="Times New Roman" w:cs="Times New Roman"/>
          <w:b/>
          <w:bCs/>
          <w:color w:val="FF0000"/>
          <w:sz w:val="24"/>
          <w:szCs w:val="24"/>
        </w:rPr>
        <w:instrText xml:space="preserve"> ADDIN EN.CITE &lt;EndNote&gt;&lt;Cite&gt;&lt;Author&gt;Gerhauser C. Lee SK. Kosmeder JW. Moriarty RM. Hamel E. Mehta RG. Moon RC. Pezzuto JM&lt;/Author&gt;&lt;Year&gt;1997&lt;/Year&gt;&lt;RecNum&gt;1&lt;/RecNum&gt;&lt;DisplayText&gt;(Gerhauser C. Lee SK. Kosmeder JW. Moriarty RM. Hamel E. Mehta RG. Moon RC. Pezzuto JM 1997; Schwartsmann G 2000)&lt;/DisplayText&gt;&lt;record&gt;&lt;rec-number&gt;1&lt;/rec-number&gt;&lt;foreign-keys&gt;&lt;key app="EN" db-id="d95ezr9wppad53edzs75rs2cwwpwa22fpfpd"&gt;1&lt;/key&gt;&lt;/foreign-keys&gt;&lt;ref-type name="Journal Article"&gt;17&lt;/ref-type&gt;&lt;contributors&gt;&lt;authors&gt;&lt;author&gt;Gerhauser C. Lee SK. Kosmeder JW. Moriarty RM. Hamel E. Mehta RG. Moon RC. Pezzuto JM,&lt;/author&gt;&lt;/authors&gt;&lt;/contributors&gt;&lt;titles&gt;&lt;title&gt;Regulation of ornithine decarboxylase induction by deguelin, a natural product cancer chemopreventive agent&lt;/title&gt;&lt;secondary-title&gt;Cancer Res&lt;/secondary-title&gt;&lt;/titles&gt;&lt;periodical&gt;&lt;full-title&gt;Cancer Res&lt;/full-title&gt;&lt;/periodical&gt;&lt;pages&gt;3429-35&lt;/pages&gt;&lt;volume&gt;57&lt;/volume&gt;&lt;number&gt;16&lt;/number&gt;&lt;dates&gt;&lt;year&gt;1997&lt;/year&gt;&lt;/dates&gt;&lt;urls&gt;&lt;/urls&gt;&lt;/record&gt;&lt;/Cite&gt;&lt;Cite&gt;&lt;Author&gt;Schwartsmann G&lt;/Author&gt;&lt;Year&gt;2000&lt;/Year&gt;&lt;RecNum&gt;2&lt;/RecNum&gt;&lt;record&gt;&lt;rec-number&gt;2&lt;/rec-number&gt;&lt;foreign-keys&gt;&lt;key app="EN" db-id="d95ezr9wppad53edzs75rs2cwwpwa22fpfpd"&gt;2&lt;/key&gt;&lt;/foreign-keys&gt;&lt;ref-type name="Journal Article"&gt;17&lt;/ref-type&gt;&lt;contributors&gt;&lt;authors&gt;&lt;author&gt;Schwartsmann G,&lt;/author&gt;&lt;/authors&gt;&lt;/contributors&gt;&lt;titles&gt;&lt;title&gt; Marine organisms and other novel natural sources of new cancer drugs&lt;/title&gt;&lt;secondary-title&gt;Ann Oncol&lt;/secondary-title&gt;&lt;/titles&gt;&lt;periodical&gt;&lt;full-title&gt;Ann Oncol&lt;/full-title&gt;&lt;/periodical&gt;&lt;pages&gt;235-43&lt;/pages&gt;&lt;volume&gt;11&lt;/volume&gt;&lt;number&gt;Suppl 3&lt;/number&gt;&lt;dates&gt;&lt;year&gt;2000&lt;/year&gt;&lt;/dates&gt;&lt;work-type&gt;Review&lt;/work-type&gt;&lt;urls&gt;&lt;/urls&gt;&lt;/record&gt;&lt;/Cite&gt;&lt;/EndNote&gt;</w:instrText>
      </w:r>
      <w:r w:rsidR="004053EA" w:rsidRPr="00A537FF">
        <w:rPr>
          <w:rFonts w:ascii="Times New Roman" w:eastAsia="Calibri" w:hAnsi="Times New Roman" w:cs="Times New Roman"/>
          <w:b/>
          <w:bCs/>
          <w:color w:val="FF0000"/>
          <w:sz w:val="24"/>
          <w:szCs w:val="24"/>
        </w:rPr>
        <w:fldChar w:fldCharType="separate"/>
      </w:r>
      <w:r w:rsidRPr="00A537FF">
        <w:rPr>
          <w:rFonts w:ascii="Times New Roman" w:eastAsia="Calibri" w:hAnsi="Times New Roman" w:cs="Times New Roman"/>
          <w:b/>
          <w:bCs/>
          <w:noProof/>
          <w:color w:val="548DD4"/>
          <w:sz w:val="24"/>
          <w:szCs w:val="24"/>
        </w:rPr>
        <w:t>(</w:t>
      </w:r>
      <w:hyperlink w:anchor="_ENREF_21" w:tooltip="Schwartsmann G, 2000 #2" w:history="1">
        <w:r w:rsidRPr="00A537FF">
          <w:rPr>
            <w:rFonts w:ascii="Times New Roman" w:eastAsia="Calibri" w:hAnsi="Times New Roman" w:cs="Times New Roman"/>
            <w:b/>
            <w:bCs/>
            <w:noProof/>
            <w:color w:val="548DD4"/>
            <w:sz w:val="24"/>
            <w:szCs w:val="24"/>
          </w:rPr>
          <w:t>Schwartsmann, 2000</w:t>
        </w:r>
      </w:hyperlink>
      <w:r w:rsidRPr="00A537FF">
        <w:rPr>
          <w:rFonts w:ascii="Calibri" w:eastAsia="Calibri" w:hAnsi="Calibri" w:cs="Arial"/>
          <w:b/>
          <w:bCs/>
          <w:color w:val="548DD4"/>
          <w:sz w:val="24"/>
          <w:szCs w:val="24"/>
        </w:rPr>
        <w:t xml:space="preserve">; </w:t>
      </w:r>
      <w:hyperlink w:anchor="_ENREF_7" w:tooltip="Gerhauser C. Lee SK. Kosmeder JW. Moriarty RM. Hamel E. Mehta RG. Moon RC. Pezzuto JM, 1997 #1" w:history="1">
        <w:r w:rsidRPr="00A537FF">
          <w:rPr>
            <w:rFonts w:ascii="Times New Roman" w:eastAsia="Calibri" w:hAnsi="Times New Roman" w:cs="Times New Roman"/>
            <w:b/>
            <w:bCs/>
            <w:noProof/>
            <w:color w:val="548DD4"/>
            <w:sz w:val="24"/>
            <w:szCs w:val="24"/>
          </w:rPr>
          <w:t>Gerhauser et al., 1997</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FF0000"/>
          <w:sz w:val="24"/>
          <w:szCs w:val="24"/>
        </w:rPr>
        <w:fldChar w:fldCharType="end"/>
      </w:r>
      <w:r w:rsidRPr="00A537FF">
        <w:rPr>
          <w:rFonts w:ascii="Times New Roman" w:eastAsia="Calibri" w:hAnsi="Times New Roman" w:cs="Times New Roman"/>
          <w:sz w:val="24"/>
          <w:szCs w:val="24"/>
        </w:rPr>
        <w:t>. They offer a valuable source of potent compounds with a wide variety of biological activities and novel chemical structures, many of which are important for novel antimicrobial drug development</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&lt;EndNote&gt;&lt;Cite&gt;&lt;Author&gt;Rancovic B. Kosanic M. Sukdolak S&lt;/Author&gt;&lt;Year&gt;2010&lt;/Year&gt;&lt;RecNum&gt;35&lt;/RecNum&gt;&lt;DisplayText&gt;(Goldman I. Aleksey DV. Sadchikova ER 2010; Rancovic B. Kosanic M. Sukdolak S 2010)&lt;/DisplayText&gt;&lt;record&gt;&lt;rec-number&gt;35&lt;/rec-number&gt;&lt;foreign-keys&gt;&lt;key app="EN" db-id="d95ezr9wppad53edzs75rs2cwwpwa22fpfpd"&gt;35&lt;/key&gt;&lt;/foreign-keys&gt;&lt;ref-type name="Journal Article"&gt;17&lt;/ref-type&gt;&lt;contributors&gt;&lt;authors&gt;&lt;author&gt;Rancovic B. Kosanic M. Sukdolak S,&lt;/author&gt;&lt;/authors&gt;&lt;/contributors&gt;&lt;titles&gt;&lt;title&gt;Antimicrobial activity of some lichens and their components&lt;/title&gt;&lt;secondary-title&gt;Recent Adv Clin Med&lt;/secondary-title&gt;&lt;/titles&gt;&lt;periodical&gt;&lt;full-title&gt;Recent Adv Clin Med&lt;/full-title&gt;&lt;/periodical&gt;&lt;pages&gt;279-286&lt;/pages&gt;&lt;dates&gt;&lt;year&gt;2010&lt;/year&gt;&lt;/dates&gt;&lt;urls&gt;&lt;/urls&gt;&lt;/record&gt;&lt;/Cite&gt;&lt;Cite&gt;&lt;Author&gt;Goldman I. Aleksey DV. Sadchikova ER&lt;/Author&gt;&lt;Year&gt;2010&lt;/Year&gt;&lt;RecNum&gt;34&lt;/RecNum&gt;&lt;record&gt;&lt;rec-number&gt;34&lt;/rec-number&gt;&lt;foreign-keys&gt;&lt;key app="EN" db-id="d95ezr9wppad53edzs75rs2cwwpwa22fpfpd"&gt;34&lt;/key&gt;&lt;/foreign-keys&gt;&lt;ref-type name="Conference Proceedings"&gt;10&lt;/ref-type&gt;&lt;contributors&gt;&lt;authors&gt;&lt;author&gt;Goldman I. Aleksey DV. Sadchikova ER,&lt;/author&gt;&lt;/authors&gt;&lt;/contributors&gt;&lt;titles&gt;&lt;title&gt;Human lactoferrin can be alternative to antibiotics&lt;/title&gt;&lt;secondary-title&gt;Proceedings of the World Medical Conference&lt;/secondary-title&gt;&lt;/titles&gt;&lt;pages&gt;27-38&lt;/pages&gt;&lt;dates&gt;&lt;year&gt;2010&lt;/year&gt;&lt;/dates&gt;&lt;publisher&gt;WSEAS Press&lt;/publisher&gt;&lt;urls&gt;&lt;/urls&gt;&lt;/record&gt;&lt;/Cite&gt;&lt;/EndNote&gt;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9" w:tooltip="Goldman I. Aleksey DV. Sadchikova ER, 2010 #34" w:history="1">
        <w:r w:rsidRPr="00A537FF">
          <w:rPr>
            <w:rFonts w:ascii="Times New Roman" w:eastAsia="Calibri" w:hAnsi="Times New Roman" w:cs="Times New Roman"/>
            <w:b/>
            <w:bCs/>
            <w:noProof/>
            <w:color w:val="548DD4"/>
            <w:sz w:val="24"/>
            <w:szCs w:val="24"/>
          </w:rPr>
          <w:t>Goldman et al., 2010</w:t>
        </w:r>
      </w:hyperlink>
      <w:r w:rsidRPr="00A537FF">
        <w:rPr>
          <w:rFonts w:ascii="Times New Roman" w:eastAsia="Calibri" w:hAnsi="Times New Roman" w:cs="Times New Roman"/>
          <w:b/>
          <w:bCs/>
          <w:noProof/>
          <w:color w:val="548DD4"/>
          <w:sz w:val="24"/>
          <w:szCs w:val="24"/>
        </w:rPr>
        <w:t xml:space="preserve">; </w:t>
      </w:r>
      <w:hyperlink w:anchor="_ENREF_19" w:tooltip="Rancovic B. Kosanic M. Sukdolak S, 2010 #35" w:history="1">
        <w:r w:rsidRPr="00A537FF">
          <w:rPr>
            <w:rFonts w:ascii="Times New Roman" w:eastAsia="Calibri" w:hAnsi="Times New Roman" w:cs="Times New Roman"/>
            <w:b/>
            <w:bCs/>
            <w:noProof/>
            <w:color w:val="548DD4"/>
            <w:sz w:val="24"/>
            <w:szCs w:val="24"/>
          </w:rPr>
          <w:t>Rancovic et al., 2010</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 xml:space="preserve">. Camel urine is a physiological catabolic product; it has been used traditionally in the treatment of many diseases in Arabic countries </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&lt;EndNote&gt;&lt;Cite&gt;&lt;Author&gt;Alhaider A.  Bayoumy N.  Argo E.  Gader A.  Stead D&lt;/Author&gt;&lt;Year&gt;2012&lt;/Year&gt;&lt;RecNum&gt;29&lt;/RecNum&gt;&lt;DisplayText&gt;(Alhaider A.  Bayoumy N.  Argo E.  Gader A.  Stead D 2012)&lt;/DisplayText&gt;&lt;record&gt;&lt;rec-number&gt;29&lt;/rec-number&gt;&lt;foreign-keys&gt;&lt;key app="EN" db-id="d95ezr9wppad53edzs75rs2cwwpwa22fpfpd"&gt;29&lt;/key&gt;&lt;/foreign-keys&gt;&lt;ref-type name="Journal Article"&gt;17&lt;/ref-type&gt;&lt;contributors&gt;&lt;authors&gt;&lt;author&gt;Alhaider A.  Bayoumy N.  Argo E.  Gader A.  Stead D,&lt;/author&gt;&lt;/authors&gt;&lt;/contributors&gt;&lt;titles&gt;&lt;title&gt;Survey of the camel urinary proteome by shotgun proteomics using a multiple database search strategy. WILEY-VCH Verlag GmbH &amp;amp; Co. KGaA, Weinheim&lt;/title&gt;&lt;secondary-title&gt;PROTEOMICS&lt;/secondary-title&gt;&lt;/titles&gt;&lt;periodical&gt;&lt;full-title&gt;PROTEOMICS&lt;/full-title&gt;&lt;/periodical&gt;&lt;pages&gt; 3403-3406&lt;/pages&gt;&lt;volume&gt;12&lt;/volume&gt;&lt;number&gt;22&lt;/number&gt;&lt;dates&gt;&lt;year&gt;2012&lt;/year&gt;&lt;/dates&gt;&lt;urls&gt;&lt;/urls&gt;&lt;/record&gt;&lt;/Cite&gt;&lt;/EndNote&gt;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3" w:tooltip="Alhaider A.  Bayoumy N.  Argo E.  Gader A.  Stead D, 2012 #29" w:history="1">
        <w:r w:rsidRPr="00A537FF">
          <w:rPr>
            <w:rFonts w:ascii="Times New Roman" w:eastAsia="Calibri" w:hAnsi="Times New Roman" w:cs="Times New Roman"/>
            <w:b/>
            <w:bCs/>
            <w:noProof/>
            <w:color w:val="548DD4"/>
            <w:sz w:val="24"/>
            <w:szCs w:val="24"/>
          </w:rPr>
          <w:t>Alhaider et al.,  2012</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color w:val="548DD4"/>
          <w:sz w:val="24"/>
          <w:szCs w:val="24"/>
        </w:rPr>
        <w:t>.</w:t>
      </w:r>
      <w:r w:rsidRPr="00A537FF">
        <w:rPr>
          <w:rFonts w:ascii="Times New Roman" w:eastAsia="Calibri" w:hAnsi="Times New Roman" w:cs="Times New Roman"/>
          <w:b/>
          <w:bCs/>
          <w:color w:val="548DD4"/>
          <w:sz w:val="24"/>
          <w:szCs w:val="24"/>
        </w:rPr>
        <w:t>Amer and Al-Hendi (1996)</w:t>
      </w:r>
      <w:r w:rsidRPr="00A537FF">
        <w:rPr>
          <w:rFonts w:ascii="Times New Roman" w:eastAsia="Calibri" w:hAnsi="Times New Roman" w:cs="Times New Roman"/>
          <w:sz w:val="24"/>
          <w:szCs w:val="24"/>
        </w:rPr>
        <w:t xml:space="preserve"> analyzed urine of mature camels (5 - 10 years old) revealed that its relative density ranged from 1.02 to 1.07 gm/dL, pH varied between acidic and alkaline. Levels of urea ranged from 18-36 gm/dL and creatinine from 0.2 - 0.5 gm/L. Microscopic analysis proved the presence of phosphorus, calcium oxalate, ammonium urate and some epithelial and granular cells. </w:t>
      </w:r>
      <w:r w:rsidRPr="00A537FF">
        <w:rPr>
          <w:rFonts w:ascii="Times New Roman" w:eastAsia="Calibri" w:hAnsi="Times New Roman" w:cs="Times New Roman"/>
          <w:b/>
          <w:bCs/>
          <w:color w:val="548DD4"/>
          <w:sz w:val="24"/>
          <w:szCs w:val="24"/>
        </w:rPr>
        <w:t>Al-Attas and his colleagues (2008)</w:t>
      </w:r>
      <w:r w:rsidRPr="00A537FF">
        <w:rPr>
          <w:rFonts w:ascii="Times New Roman" w:eastAsia="Calibri" w:hAnsi="Times New Roman" w:cs="Times New Roman"/>
          <w:sz w:val="24"/>
          <w:szCs w:val="24"/>
        </w:rPr>
        <w:t xml:space="preserve">, using neutron activation analysis, estimated the amount of some essential elements within milk and urine of camels and discovered that they contain large amounts of Na and K, which can substitute for the loss of such elements in human suffering from diarrhea. PMF is a new pharmaceutical drug prepared by extracting lyophilized camel urine and was prove to have selective toxicity and anticancer substrates and to exert negligible effects on vital organs  </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&lt;EndNote&gt;&lt;Cite&gt;&lt;Author&gt;Khorshid FA&lt;/Author&gt;&lt;Year&gt;2008&lt;/Year&gt;&lt;RecNum&gt;7&lt;/RecNum&gt;&lt;DisplayText&gt;(Khorshid FA 2008)&lt;/DisplayText&gt;&lt;record&gt;&lt;rec-number&gt;7&lt;/rec-number&gt;&lt;foreign-keys&gt;&lt;key app="EN" db-id="d95ezr9wppad53edzs75rs2cwwpwa22fpfpd"&gt;7&lt;/key&gt;&lt;/foreign-keys&gt;&lt;ref-type name="Journal Article"&gt;17&lt;/ref-type&gt;&lt;contributors&gt;&lt;authors&gt;&lt;author&gt;Khorshid FA,&lt;/author&gt;&lt;/authors&gt;&lt;/contributors&gt;&lt;titles&gt;&lt;title&gt;Preclinical evaluation of PM 701 in experimental animals&lt;/title&gt;&lt;secondary-title&gt; Int. J. Pharmacol.&lt;/secondary-title&gt;&lt;/titles&gt;&lt;pages&gt;443-451&lt;/pages&gt;&lt;volume&gt;1&lt;/volume&gt;&lt;number&gt;4&lt;/number&gt;&lt;dates&gt;&lt;year&gt;2008&lt;/year&gt;&lt;/dates&gt;&lt;urls&gt;&lt;/urls&gt;&lt;/record&gt;&lt;/Cite&gt;&lt;/EndNote&gt;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13" w:tooltip="Khorshid FA, 2008 #7" w:history="1">
        <w:r w:rsidRPr="00A537FF">
          <w:rPr>
            <w:rFonts w:ascii="Times New Roman" w:eastAsia="Calibri" w:hAnsi="Times New Roman" w:cs="Times New Roman"/>
            <w:b/>
            <w:bCs/>
            <w:noProof/>
            <w:color w:val="548DD4"/>
            <w:sz w:val="24"/>
            <w:szCs w:val="24"/>
          </w:rPr>
          <w:t>Khorshid, 2008</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 xml:space="preserve">. The extracted fraction of PMF was found in 150 mg /g of PM 701 (lyophilized camel urine) and it was able to inhibit the proliferation of cancer cells significantly without affecting the normal cells at cell culture level </w:t>
      </w:r>
      <w:r w:rsidR="004053EA" w:rsidRPr="00A537FF">
        <w:rPr>
          <w:rFonts w:ascii="Times New Roman" w:eastAsia="Calibri" w:hAnsi="Times New Roman" w:cs="Times New Roman"/>
          <w:b/>
          <w:bCs/>
          <w:color w:val="548DD4"/>
          <w:sz w:val="24"/>
          <w:szCs w:val="24"/>
        </w:rPr>
        <w:fldChar w:fldCharType="begin">
          <w:fldData xml:space="preserve">PEVuZE5vdGU+PENpdGU+PEF1dGhvcj5LaG9yc2hpZCBGQTwvQXV0aG9yPjxZZWFyPiAyMDA1PC9Z
ZWFyPjxSZWNOdW0+NjwvUmVjTnVtPjxEaXNwbGF5VGV4dD4oS2hvcnNoaWQgRkEgMjAwODsgRWwt
U2hhaGF3eSBBLiAgRWxzYXdpIE5NLiAuIEJha2VyIFdTIDIwMTA7IEtob3JzaGlkIEZBIDIwMDU7
IE1vc2hyZWYgU1MuIEtob3JzaGlkIEZBLiAgIEphbWFsIFkgMjAwNjsgS2hvcnNoaWQgRkEgMjAw
OSk8L0Rpc3BsYXlUZXh0PjxyZWNvcmQ+PHJlYy1udW1iZXI+NjwvcmVjLW51bWJlcj48Zm9yZWln
bi1rZXlzPjxrZXkgYXBwPSJFTiIgZGItaWQ9ImQ5NWV6cjl3cHBhZDUzZWR6czc1cnMyY3d3cHdh
MjJmcGZwZCI+Njwva2V5PjwvZm9yZWlnbi1rZXlzPjxyZWYtdHlwZSBuYW1lPSJKb3VybmFsIEFy
dGljbGUiPjE3PC9yZWYtdHlwZT48Y29udHJpYnV0b3JzPjxhdXRob3JzPjxhdXRob3I+S2hvcnNo
aWQgRkEsPC9hdXRob3I+PC9hdXRob3JzPjwvY29udHJpYnV0b3JzPjx0aXRsZXM+PHRpdGxlPkNv
bXBhcmF0aXZlIHN0dWR5IG9mIGtlbG9pZHMgZm9ybWF0aW9uIGluIGh1bWFuIGFuZCBsYWJvcmF0
b3J5IGFuaW1hbHM8L3RpdGxlPjxzZWNvbmRhcnktdGl0bGU+TWVkLiBTY2kuIE1vbml0Ljwvc2Vj
b25kYXJ5LXRpdGxlPjwvdGl0bGVzPjxwZXJpb2RpY2FsPjxmdWxsLXRpdGxlPk1lZC4gU2NpLiBN
b25pdC48L2Z1bGwtdGl0bGU+PC9wZXJpb2RpY2FsPjxwYWdlcz4yMTItMjE5PC9wYWdlcz48dm9s
dW1lPiAxMTwvdm9sdW1lPjxudW1iZXI+QlI8L251bWJlcj48ZGF0ZXM+PHllYXI+IDIwMDU8L3ll
YXI+PC9kYXRlcz48dXJscz48L3VybHM+PC9yZWNvcmQ+PC9DaXRlPjxDaXRlPjxBdXRob3I+S2hv
cnNoaWQgRkE8L0F1dGhvcj48WWVhcj4yMDA4PC9ZZWFyPjxSZWNOdW0+NzwvUmVjTnVtPjxyZWNv
cmQ+PHJlYy1udW1iZXI+NzwvcmVjLW51bWJlcj48Zm9yZWlnbi1rZXlzPjxrZXkgYXBwPSJFTiIg
ZGItaWQ9ImQ5NWV6cjl3cHBhZDUzZWR6czc1cnMyY3d3cHdhMjJmcGZwZCI+Nzwva2V5PjwvZm9y
ZWlnbi1rZXlzPjxyZWYtdHlwZSBuYW1lPSJKb3VybmFsIEFydGljbGUiPjE3PC9yZWYtdHlwZT48
Y29udHJpYnV0b3JzPjxhdXRob3JzPjxhdXRob3I+S2hvcnNoaWQgRkEsPC9hdXRob3I+PC9hdXRo
b3JzPjwvY29udHJpYnV0b3JzPjx0aXRsZXM+PHRpdGxlPlByZWNsaW5pY2FsIGV2YWx1YXRpb24g
b2YgUE0gNzAxIGluIGV4cGVyaW1lbnRhbCBhbmltYWxzPC90aXRsZT48c2Vjb25kYXJ5LXRpdGxl
PiBJbnQuIEouIFBoYXJtYWNvbC48L3NlY29uZGFyeS10aXRsZT48L3RpdGxlcz48cGFnZXM+NDQz
LTQ1MTwvcGFnZXM+PHZvbHVtZT4xPC92b2x1bWU+PG51bWJlcj40PC9udW1iZXI+PGRhdGVzPjx5
ZWFyPjIwMDg8L3llYXI+PC9kYXRlcz48dXJscz48L3VybHM+PC9yZWNvcmQ+PC9DaXRlPjxDaXRl
PjxBdXRob3I+S2hvcnNoaWQgRkE8L0F1dGhvcj48WWVhcj4gMjAwOTwvWWVhcj48UmVjTnVtPjg8
L1JlY051bT48cmVjb3JkPjxyZWMtbnVtYmVyPjg8L3JlYy1udW1iZXI+PGZvcmVpZ24ta2V5cz48
a2V5IGFwcD0iRU4iIGRiLWlkPSJkOTVlenI5d3BwYWQ1M2VkenM3NXJzMmN3d3B3YTIyZnBmcGQi
Pjg8L2tleT48L2ZvcmVpZ24ta2V5cz48cmVmLXR5cGUgbmFtZT0iSm91cm5hbCBBcnRpY2xlIj4x
NzwvcmVmLXR5cGU+PGNvbnRyaWJ1dG9ycz48YXV0aG9ycz48YXV0aG9yPktob3JzaGlkIEZBLDwv
YXV0aG9yPjwvYXV0aG9ycz48L2NvbnRyaWJ1dG9ycz48dGl0bGVzPjx0aXRsZT5Qb3RlbnRpYWwg
YW50aWNhbmNlciBuYXR1cmFsIHByb2R1Y3QgYWdhaW5zdCBodW1hbiBsdW5nIGNhbmNlciBjZWxs
czwvdGl0bGU+PHNlY29uZGFyeS10aXRsZT5UcmVuZHMgTWVkLiBSZXMuPC9zZWNvbmRhcnktdGl0
bGU+PC90aXRsZXM+PHBlcmlvZGljYWw+PGZ1bGwtdGl0bGU+VHJlbmRzIE1lZC4gUmVzLjwvZnVs
bC10aXRsZT48L3BlcmlvZGljYWw+PHBhZ2VzPjgtMTU8L3BhZ2VzPjx2b2x1bWU+MTwvdm9sdW1l
PjxudW1iZXI+NDwvbnVtYmVyPjxkYXRlcz48eWVhcj4gMjAwOTwveWVhcj48L2RhdGVzPjx1cmxz
PjwvdXJscz48L3JlY29yZD48L0NpdGU+PENpdGU+PEF1dGhvcj5FbC1TaGFoYXd5IEEuICBFbHNh
d2kgTk0uIC4gQmFrZXIgV1M8L0F1dGhvcj48WWVhcj4yMDEwPC9ZZWFyPjxSZWNOdW0+MTA8L1Jl
Y051bT48cmVjb3JkPjxyZWMtbnVtYmVyPjEwPC9yZWMtbnVtYmVyPjxmb3JlaWduLWtleXM+PGtl
eSBhcHA9IkVOIiBkYi1pZD0iZDk1ZXpyOXdwcGFkNTNlZHpzNzVyczJjd3dwd2EyMmZwZnBkIj4x
MDwva2V5PjwvZm9yZWlnbi1rZXlzPjxyZWYtdHlwZSBuYW1lPSJKb3VybmFsIEFydGljbGUiPjE3
PC9yZWYtdHlwZT48Y29udHJpYnV0b3JzPjxhdXRob3JzPjxhdXRob3I+RWwtU2hhaGF3eSBBLiAg
RWxzYXdpIE5NLiAuIEJha2VyIFdTLCAgS2hvcnNoaWQgRksuICAgR2V3ZWVseSBOUyw8L2F1dGhv
cj48L2F1dGhvcnM+PC9jb250cmlidXRvcnM+PHRpdGxlcz48dGl0bGU+U3BlY3RyYWwgYW5hbHlz
aXMsIG1vbGVjdWxhciBvcmJpdGFsIGNhbGN1bGF0aW9ucyBhbmQgYW50aW1pY3JvYmlhbCBhY3Rp
dml0eSBvZiBQTUYtRyBmcmFjdGlvbiBleHRyYWN0ZWQgZnJvbSBQTS03MDE8L3RpdGxlPjxzZWNv
bmRhcnktdGl0bGU+SW50LiBKLiBQaGFybWEgQmlvc2NpLjwvc2Vjb25kYXJ5LXRpdGxlPjwvdGl0
bGVzPjxwZXJpb2RpY2FsPjxmdWxsLXRpdGxlPkludC4gSi4gUGhhcm1hIEJpb3NjaS48L2Z1bGwt
dGl0bGU+PC9wZXJpb2RpY2FsPjxwYWdlcz4xLTE5PC9wYWdlcz48dm9sdW1lPjE8L3ZvbHVtZT48
bnVtYmVyPjE8L251bWJlcj48ZGF0ZXM+PHllYXI+MjAxMDwveWVhcj48L2RhdGVzPjx1cmxzPjwv
dXJscz48L3JlY29yZD48L0NpdGU+PENpdGU+PEF1dGhvcj5Nb3NocmVmIFNTLiBLaG9yc2hpZCBG
QS4gICBKYW1hbCBZPC9BdXRob3I+PFllYXI+IDIwMDY8L1llYXI+PFJlY051bT45PC9SZWNOdW0+
PHJlY29yZD48cmVjLW51bWJlcj45PC9yZWMtbnVtYmVyPjxmb3JlaWduLWtleXM+PGtleSBhcHA9
IkVOIiBkYi1pZD0iZDk1ZXpyOXdwcGFkNTNlZHpzNzVyczJjd3dwd2EyMmZwZnBkIj45PC9rZXk+
PC9mb3JlaWduLWtleXM+PHJlZi10eXBlIG5hbWU9IkpvdXJuYWwgQXJ0aWNsZSI+MTc8L3JlZi10
eXBlPjxjb250cmlidXRvcnM+PGF1dGhvcnM+PGF1dGhvcj5Nb3NocmVmIFNTLiBLaG9yc2hpZCBG
QS4gICBKYW1hbCBZLDwvYXV0aG9yPjwvYXV0aG9ycz48L2NvbnRyaWJ1dG9ycz48dGl0bGVzPjx0
aXRsZT5UaGUgZWZmZWN0IG9mIFBNIDcwMSBvbiBtaWNlIGxldWtlbWljIGNlbGxzOiBJLXRpc3N1
ZSBjdWx0dXJlIHN0dWR5IG9mIEwxMjEwIChpbiB2aXRybykgSUktaW4gdml2byBzdHVkeSBvbiBt
aWNlPC90aXRsZT48c2Vjb25kYXJ5LXRpdGxlPkpLQVU6IE1lZC4gU2NpLjwvc2Vjb25kYXJ5LXRp
dGxlPjwvdGl0bGVzPjxwZXJpb2RpY2FsPjxmdWxsLXRpdGxlPkpLQVU6IE1lZC4gU2NpLjwvZnVs
bC10aXRsZT48L3BlcmlvZGljYWw+PHBhZ2VzPjMtMTk8L3BhZ2VzPjx2b2x1bWU+MTM8L3ZvbHVt
ZT48bnVtYmVyPjE8L251bWJlcj48ZGF0ZXM+PHllYXI+IDIwMDY8L3llYXI+PC9kYXRlcz48dXJs
cz48L3VybHM+PC9yZWNvcmQ+PC9DaXRlPjwvRW5kTm90ZT5=
</w:fldData>
        </w:fldChar>
      </w:r>
      <w:r w:rsidRPr="00A537FF">
        <w:rPr>
          <w:rFonts w:ascii="Times New Roman" w:eastAsia="Calibri" w:hAnsi="Times New Roman" w:cs="Times New Roman"/>
          <w:b/>
          <w:bCs/>
          <w:color w:val="548DD4"/>
          <w:sz w:val="24"/>
          <w:szCs w:val="24"/>
        </w:rPr>
        <w:instrText xml:space="preserve"> ADDIN EN.CITE </w:instrText>
      </w:r>
      <w:r w:rsidR="004053EA" w:rsidRPr="00A537FF">
        <w:rPr>
          <w:rFonts w:ascii="Times New Roman" w:eastAsia="Calibri" w:hAnsi="Times New Roman" w:cs="Times New Roman"/>
          <w:b/>
          <w:bCs/>
          <w:color w:val="548DD4"/>
          <w:sz w:val="24"/>
          <w:szCs w:val="24"/>
        </w:rPr>
        <w:fldChar w:fldCharType="begin">
          <w:fldData xml:space="preserve">PEVuZE5vdGU+PENpdGU+PEF1dGhvcj5LaG9yc2hpZCBGQTwvQXV0aG9yPjxZZWFyPiAyMDA1PC9Z
ZWFyPjxSZWNOdW0+NjwvUmVjTnVtPjxEaXNwbGF5VGV4dD4oS2hvcnNoaWQgRkEgMjAwODsgRWwt
U2hhaGF3eSBBLiAgRWxzYXdpIE5NLiAuIEJha2VyIFdTIDIwMTA7IEtob3JzaGlkIEZBIDIwMDU7
IE1vc2hyZWYgU1MuIEtob3JzaGlkIEZBLiAgIEphbWFsIFkgMjAwNjsgS2hvcnNoaWQgRkEgMjAw
OSk8L0Rpc3BsYXlUZXh0PjxyZWNvcmQ+PHJlYy1udW1iZXI+NjwvcmVjLW51bWJlcj48Zm9yZWln
bi1rZXlzPjxrZXkgYXBwPSJFTiIgZGItaWQ9ImQ5NWV6cjl3cHBhZDUzZWR6czc1cnMyY3d3cHdh
MjJmcGZwZCI+Njwva2V5PjwvZm9yZWlnbi1rZXlzPjxyZWYtdHlwZSBuYW1lPSJKb3VybmFsIEFy
dGljbGUiPjE3PC9yZWYtdHlwZT48Y29udHJpYnV0b3JzPjxhdXRob3JzPjxhdXRob3I+S2hvcnNo
aWQgRkEsPC9hdXRob3I+PC9hdXRob3JzPjwvY29udHJpYnV0b3JzPjx0aXRsZXM+PHRpdGxlPkNv
bXBhcmF0aXZlIHN0dWR5IG9mIGtlbG9pZHMgZm9ybWF0aW9uIGluIGh1bWFuIGFuZCBsYWJvcmF0
b3J5IGFuaW1hbHM8L3RpdGxlPjxzZWNvbmRhcnktdGl0bGU+TWVkLiBTY2kuIE1vbml0Ljwvc2Vj
b25kYXJ5LXRpdGxlPjwvdGl0bGVzPjxwZXJpb2RpY2FsPjxmdWxsLXRpdGxlPk1lZC4gU2NpLiBN
b25pdC48L2Z1bGwtdGl0bGU+PC9wZXJpb2RpY2FsPjxwYWdlcz4yMTItMjE5PC9wYWdlcz48dm9s
dW1lPiAxMTwvdm9sdW1lPjxudW1iZXI+QlI8L251bWJlcj48ZGF0ZXM+PHllYXI+IDIwMDU8L3ll
YXI+PC9kYXRlcz48dXJscz48L3VybHM+PC9yZWNvcmQ+PC9DaXRlPjxDaXRlPjxBdXRob3I+S2hv
cnNoaWQgRkE8L0F1dGhvcj48WWVhcj4yMDA4PC9ZZWFyPjxSZWNOdW0+NzwvUmVjTnVtPjxyZWNv
cmQ+PHJlYy1udW1iZXI+NzwvcmVjLW51bWJlcj48Zm9yZWlnbi1rZXlzPjxrZXkgYXBwPSJFTiIg
ZGItaWQ9ImQ5NWV6cjl3cHBhZDUzZWR6czc1cnMyY3d3cHdhMjJmcGZwZCI+Nzwva2V5PjwvZm9y
ZWlnbi1rZXlzPjxyZWYtdHlwZSBuYW1lPSJKb3VybmFsIEFydGljbGUiPjE3PC9yZWYtdHlwZT48
Y29udHJpYnV0b3JzPjxhdXRob3JzPjxhdXRob3I+S2hvcnNoaWQgRkEsPC9hdXRob3I+PC9hdXRo
b3JzPjwvY29udHJpYnV0b3JzPjx0aXRsZXM+PHRpdGxlPlByZWNsaW5pY2FsIGV2YWx1YXRpb24g
b2YgUE0gNzAxIGluIGV4cGVyaW1lbnRhbCBhbmltYWxzPC90aXRsZT48c2Vjb25kYXJ5LXRpdGxl
PiBJbnQuIEouIFBoYXJtYWNvbC48L3NlY29uZGFyeS10aXRsZT48L3RpdGxlcz48cGFnZXM+NDQz
LTQ1MTwvcGFnZXM+PHZvbHVtZT4xPC92b2x1bWU+PG51bWJlcj40PC9udW1iZXI+PGRhdGVzPjx5
ZWFyPjIwMDg8L3llYXI+PC9kYXRlcz48dXJscz48L3VybHM+PC9yZWNvcmQ+PC9DaXRlPjxDaXRl
PjxBdXRob3I+S2hvcnNoaWQgRkE8L0F1dGhvcj48WWVhcj4gMjAwOTwvWWVhcj48UmVjTnVtPjg8
L1JlY051bT48cmVjb3JkPjxyZWMtbnVtYmVyPjg8L3JlYy1udW1iZXI+PGZvcmVpZ24ta2V5cz48
a2V5IGFwcD0iRU4iIGRiLWlkPSJkOTVlenI5d3BwYWQ1M2VkenM3NXJzMmN3d3B3YTIyZnBmcGQi
Pjg8L2tleT48L2ZvcmVpZ24ta2V5cz48cmVmLXR5cGUgbmFtZT0iSm91cm5hbCBBcnRpY2xlIj4x
NzwvcmVmLXR5cGU+PGNvbnRyaWJ1dG9ycz48YXV0aG9ycz48YXV0aG9yPktob3JzaGlkIEZBLDwv
YXV0aG9yPjwvYXV0aG9ycz48L2NvbnRyaWJ1dG9ycz48dGl0bGVzPjx0aXRsZT5Qb3RlbnRpYWwg
YW50aWNhbmNlciBuYXR1cmFsIHByb2R1Y3QgYWdhaW5zdCBodW1hbiBsdW5nIGNhbmNlciBjZWxs
czwvdGl0bGU+PHNlY29uZGFyeS10aXRsZT5UcmVuZHMgTWVkLiBSZXMuPC9zZWNvbmRhcnktdGl0
bGU+PC90aXRsZXM+PHBlcmlvZGljYWw+PGZ1bGwtdGl0bGU+VHJlbmRzIE1lZC4gUmVzLjwvZnVs
bC10aXRsZT48L3BlcmlvZGljYWw+PHBhZ2VzPjgtMTU8L3BhZ2VzPjx2b2x1bWU+MTwvdm9sdW1l
PjxudW1iZXI+NDwvbnVtYmVyPjxkYXRlcz48eWVhcj4gMjAwOTwveWVhcj48L2RhdGVzPjx1cmxz
PjwvdXJscz48L3JlY29yZD48L0NpdGU+PENpdGU+PEF1dGhvcj5FbC1TaGFoYXd5IEEuICBFbHNh
d2kgTk0uIC4gQmFrZXIgV1M8L0F1dGhvcj48WWVhcj4yMDEwPC9ZZWFyPjxSZWNOdW0+MTA8L1Jl
Y051bT48cmVjb3JkPjxyZWMtbnVtYmVyPjEwPC9yZWMtbnVtYmVyPjxmb3JlaWduLWtleXM+PGtl
eSBhcHA9IkVOIiBkYi1pZD0iZDk1ZXpyOXdwcGFkNTNlZHpzNzVyczJjd3dwd2EyMmZwZnBkIj4x
MDwva2V5PjwvZm9yZWlnbi1rZXlzPjxyZWYtdHlwZSBuYW1lPSJKb3VybmFsIEFydGljbGUiPjE3
PC9yZWYtdHlwZT48Y29udHJpYnV0b3JzPjxhdXRob3JzPjxhdXRob3I+RWwtU2hhaGF3eSBBLiAg
RWxzYXdpIE5NLiAuIEJha2VyIFdTLCAgS2hvcnNoaWQgRksuICAgR2V3ZWVseSBOUyw8L2F1dGhv
cj48L2F1dGhvcnM+PC9jb250cmlidXRvcnM+PHRpdGxlcz48dGl0bGU+U3BlY3RyYWwgYW5hbHlz
aXMsIG1vbGVjdWxhciBvcmJpdGFsIGNhbGN1bGF0aW9ucyBhbmQgYW50aW1pY3JvYmlhbCBhY3Rp
dml0eSBvZiBQTUYtRyBmcmFjdGlvbiBleHRyYWN0ZWQgZnJvbSBQTS03MDE8L3RpdGxlPjxzZWNv
bmRhcnktdGl0bGU+SW50LiBKLiBQaGFybWEgQmlvc2NpLjwvc2Vjb25kYXJ5LXRpdGxlPjwvdGl0
bGVzPjxwZXJpb2RpY2FsPjxmdWxsLXRpdGxlPkludC4gSi4gUGhhcm1hIEJpb3NjaS48L2Z1bGwt
dGl0bGU+PC9wZXJpb2RpY2FsPjxwYWdlcz4xLTE5PC9wYWdlcz48dm9sdW1lPjE8L3ZvbHVtZT48
bnVtYmVyPjE8L251bWJlcj48ZGF0ZXM+PHllYXI+MjAxMDwveWVhcj48L2RhdGVzPjx1cmxzPjwv
dXJscz48L3JlY29yZD48L0NpdGU+PENpdGU+PEF1dGhvcj5Nb3NocmVmIFNTLiBLaG9yc2hpZCBG
QS4gICBKYW1hbCBZPC9BdXRob3I+PFllYXI+IDIwMDY8L1llYXI+PFJlY051bT45PC9SZWNOdW0+
PHJlY29yZD48cmVjLW51bWJlcj45PC9yZWMtbnVtYmVyPjxmb3JlaWduLWtleXM+PGtleSBhcHA9
IkVOIiBkYi1pZD0iZDk1ZXpyOXdwcGFkNTNlZHpzNzVyczJjd3dwd2EyMmZwZnBkIj45PC9rZXk+
PC9mb3JlaWduLWtleXM+PHJlZi10eXBlIG5hbWU9IkpvdXJuYWwgQXJ0aWNsZSI+MTc8L3JlZi10
eXBlPjxjb250cmlidXRvcnM+PGF1dGhvcnM+PGF1dGhvcj5Nb3NocmVmIFNTLiBLaG9yc2hpZCBG
QS4gICBKYW1hbCBZLDwvYXV0aG9yPjwvYXV0aG9ycz48L2NvbnRyaWJ1dG9ycz48dGl0bGVzPjx0
aXRsZT5UaGUgZWZmZWN0IG9mIFBNIDcwMSBvbiBtaWNlIGxldWtlbWljIGNlbGxzOiBJLXRpc3N1
ZSBjdWx0dXJlIHN0dWR5IG9mIEwxMjEwIChpbiB2aXRybykgSUktaW4gdml2byBzdHVkeSBvbiBt
aWNlPC90aXRsZT48c2Vjb25kYXJ5LXRpdGxlPkpLQVU6IE1lZC4gU2NpLjwvc2Vjb25kYXJ5LXRp
dGxlPjwvdGl0bGVzPjxwZXJpb2RpY2FsPjxmdWxsLXRpdGxlPkpLQVU6IE1lZC4gU2NpLjwvZnVs
bC10aXRsZT48L3BlcmlvZGljYWw+PHBhZ2VzPjMtMTk8L3BhZ2VzPjx2b2x1bWU+MTM8L3ZvbHVt
ZT48bnVtYmVyPjE8L251bWJlcj48ZGF0ZXM+PHllYXI+IDIwMDY8L3llYXI+PC9kYXRlcz48dXJs
cz48L3VybHM+PC9yZWNvcmQ+PC9DaXRlPjwvRW5kTm90ZT5=
</w:fldData>
        </w:fldChar>
      </w:r>
      <w:r w:rsidRPr="00A537FF">
        <w:rPr>
          <w:rFonts w:ascii="Times New Roman" w:eastAsia="Calibri" w:hAnsi="Times New Roman" w:cs="Times New Roman"/>
          <w:b/>
          <w:bCs/>
          <w:color w:val="548DD4"/>
          <w:sz w:val="24"/>
          <w:szCs w:val="24"/>
        </w:rPr>
        <w:instrText xml:space="preserve"> ADDIN EN.CITE.DATA </w:instrText>
      </w:r>
      <w:r w:rsidR="004053EA" w:rsidRPr="00A537FF">
        <w:rPr>
          <w:rFonts w:ascii="Times New Roman" w:eastAsia="Calibri" w:hAnsi="Times New Roman" w:cs="Times New Roman"/>
          <w:b/>
          <w:bCs/>
          <w:color w:val="548DD4"/>
          <w:sz w:val="24"/>
          <w:szCs w:val="24"/>
        </w:rPr>
      </w:r>
      <w:r w:rsidR="004053EA" w:rsidRPr="00A537FF">
        <w:rPr>
          <w:rFonts w:ascii="Times New Roman" w:eastAsia="Calibri" w:hAnsi="Times New Roman" w:cs="Times New Roman"/>
          <w:b/>
          <w:bCs/>
          <w:color w:val="548DD4"/>
          <w:sz w:val="24"/>
          <w:szCs w:val="24"/>
        </w:rPr>
        <w:fldChar w:fldCharType="end"/>
      </w:r>
      <w:r w:rsidR="004053EA" w:rsidRPr="00A537FF">
        <w:rPr>
          <w:rFonts w:ascii="Times New Roman" w:eastAsia="Calibri" w:hAnsi="Times New Roman" w:cs="Times New Roman"/>
          <w:b/>
          <w:bCs/>
          <w:color w:val="548DD4"/>
          <w:sz w:val="24"/>
          <w:szCs w:val="24"/>
        </w:rPr>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6" w:tooltip="El-Shahawy A.  Elsawi NM. . Baker WS, 2010 #10" w:history="1">
        <w:r w:rsidRPr="00A537FF">
          <w:rPr>
            <w:rFonts w:ascii="Times New Roman" w:eastAsia="Calibri" w:hAnsi="Times New Roman" w:cs="Times New Roman"/>
            <w:b/>
            <w:bCs/>
            <w:noProof/>
            <w:color w:val="548DD4"/>
            <w:sz w:val="24"/>
            <w:szCs w:val="24"/>
          </w:rPr>
          <w:t>El-Shahawy et al., 2010</w:t>
        </w:r>
      </w:hyperlink>
      <w:r w:rsidRPr="00A537FF">
        <w:rPr>
          <w:rFonts w:ascii="Times New Roman" w:eastAsia="Calibri" w:hAnsi="Times New Roman" w:cs="Times New Roman"/>
          <w:b/>
          <w:bCs/>
          <w:noProof/>
          <w:color w:val="548DD4"/>
          <w:sz w:val="24"/>
          <w:szCs w:val="24"/>
        </w:rPr>
        <w:t xml:space="preserve">; </w:t>
      </w:r>
      <w:hyperlink w:anchor="_ENREF_15" w:tooltip="Khorshid FA,  2009 #8" w:history="1">
        <w:r w:rsidRPr="00A537FF">
          <w:rPr>
            <w:rFonts w:ascii="Times New Roman" w:eastAsia="Calibri" w:hAnsi="Times New Roman" w:cs="Times New Roman"/>
            <w:b/>
            <w:bCs/>
            <w:noProof/>
            <w:color w:val="548DD4"/>
            <w:sz w:val="24"/>
            <w:szCs w:val="24"/>
          </w:rPr>
          <w:t>Khorshid, 2009</w:t>
        </w:r>
      </w:hyperlink>
      <w:r w:rsidRPr="00A537FF">
        <w:rPr>
          <w:rFonts w:ascii="Times New Roman" w:eastAsia="Calibri" w:hAnsi="Times New Roman" w:cs="Times New Roman"/>
          <w:b/>
          <w:bCs/>
          <w:noProof/>
          <w:color w:val="548DD4"/>
          <w:sz w:val="24"/>
          <w:szCs w:val="24"/>
        </w:rPr>
        <w:t xml:space="preserve">; </w:t>
      </w:r>
      <w:hyperlink w:anchor="_ENREF_13" w:tooltip="Khorshid FA, 2008 #7" w:history="1">
        <w:r w:rsidRPr="00A537FF">
          <w:rPr>
            <w:rFonts w:ascii="Times New Roman" w:eastAsia="Calibri" w:hAnsi="Times New Roman" w:cs="Times New Roman"/>
            <w:b/>
            <w:bCs/>
            <w:noProof/>
            <w:color w:val="548DD4"/>
            <w:sz w:val="24"/>
            <w:szCs w:val="24"/>
          </w:rPr>
          <w:t>Khorshid, 2008</w:t>
        </w:r>
      </w:hyperlink>
      <w:r w:rsidRPr="00A537FF">
        <w:rPr>
          <w:rFonts w:ascii="Times New Roman" w:eastAsia="Calibri" w:hAnsi="Times New Roman" w:cs="Times New Roman"/>
          <w:b/>
          <w:bCs/>
          <w:noProof/>
          <w:color w:val="548DD4"/>
          <w:sz w:val="24"/>
          <w:szCs w:val="24"/>
        </w:rPr>
        <w:t xml:space="preserve">; </w:t>
      </w:r>
      <w:hyperlink w:anchor="_ENREF_16" w:tooltip="Moshref SS. Khorshid FA.   Jamal Y,  2006 #9" w:history="1">
        <w:r w:rsidRPr="00A537FF">
          <w:rPr>
            <w:rFonts w:ascii="Times New Roman" w:eastAsia="Calibri" w:hAnsi="Times New Roman" w:cs="Times New Roman"/>
            <w:b/>
            <w:bCs/>
            <w:noProof/>
            <w:color w:val="548DD4"/>
            <w:sz w:val="24"/>
            <w:szCs w:val="24"/>
          </w:rPr>
          <w:t>Moshref et al., 2006</w:t>
        </w:r>
      </w:hyperlink>
      <w:r w:rsidRPr="00A537FF">
        <w:rPr>
          <w:rFonts w:ascii="Times New Roman" w:eastAsia="Calibri" w:hAnsi="Times New Roman" w:cs="Times New Roman"/>
          <w:b/>
          <w:bCs/>
          <w:noProof/>
          <w:color w:val="548DD4"/>
          <w:sz w:val="24"/>
          <w:szCs w:val="24"/>
        </w:rPr>
        <w:t>;</w:t>
      </w:r>
      <w:hyperlink w:anchor="_ENREF_14" w:tooltip="Khorshid FA,  2005 #6" w:history="1">
        <w:r w:rsidRPr="00A537FF">
          <w:rPr>
            <w:rFonts w:ascii="Times New Roman" w:eastAsia="Calibri" w:hAnsi="Times New Roman" w:cs="Times New Roman"/>
            <w:b/>
            <w:bCs/>
            <w:noProof/>
            <w:color w:val="548DD4"/>
            <w:sz w:val="24"/>
            <w:szCs w:val="24"/>
          </w:rPr>
          <w:t>Khorshidet al., 2005</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 xml:space="preserve">. </w:t>
      </w:r>
    </w:p>
    <w:p w:rsidR="0087106A"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Cell culture and animal models play a crucial role in the development of new therapies. A novel treatment cannot be applied directly to humans. Treatments (both pharmacological and non-pharmacological) can be potentially dangerous. Cell culture can verify the mechanism of the new therapy and aid in establishing a safe human dose range </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&lt;EndNote&gt;&lt;Cite&gt;&lt;Author&gt;Moshref SS. Khorshid FA.   Jamal Y&lt;/Author&gt;&lt;Year&gt; 2006&lt;/Year&gt;&lt;RecNum&gt;9&lt;/RecNum&gt;&lt;DisplayText&gt;(Giaever I. Keese CR 1986; Moshref SS. Khorshid FA.   Jamal Y 2006)&lt;/DisplayText&gt;&lt;record&gt;&lt;rec-number&gt;9&lt;/rec-number&gt;&lt;foreign-keys&gt;&lt;key app="EN" db-id="d95ezr9wppad53edzs75rs2cwwpwa22fpfpd"&gt;9&lt;/key&gt;&lt;/foreign-keys&gt;&lt;ref-type name="Journal Article"&gt;17&lt;/ref-type&gt;&lt;contributors&gt;&lt;authors&gt;&lt;author&gt;Moshref SS. Khorshid FA.   Jamal Y,&lt;/author&gt;&lt;/authors&gt;&lt;/contributors&gt;&lt;titles&gt;&lt;title&gt;The effect of PM 701 on mice leukemic cells: I-tissue culture study of L1210 (in vitro) II-in vivo study on mice&lt;/title&gt;&lt;secondary-title&gt;JKAU: Med. Sci.&lt;/secondary-title&gt;&lt;/titles&gt;&lt;periodical&gt;&lt;full-title&gt;JKAU: Med. Sci.&lt;/full-title&gt;&lt;/periodical&gt;&lt;pages&gt;3-19&lt;/pages&gt;&lt;volume&gt;13&lt;/volume&gt;&lt;number&gt;1&lt;/number&gt;&lt;dates&gt;&lt;year&gt; 2006&lt;/year&gt;&lt;/dates&gt;&lt;urls&gt;&lt;/urls&gt;&lt;/record&gt;&lt;/Cite&gt;&lt;Cite&gt;&lt;Author&gt;Giaever I. Keese CR&lt;/Author&gt;&lt;Year&gt;1986&lt;/Year&gt;&lt;RecNum&gt;11&lt;/RecNum&gt;&lt;record&gt;&lt;rec-number&gt;11&lt;/rec-number&gt;&lt;foreign-keys&gt;&lt;key app="EN" db-id="d95ezr9wppad53edzs75rs2cwwpwa22fpfpd"&gt;11&lt;/key&gt;&lt;/foreign-keys&gt;&lt;ref-type name="Journal Article"&gt;17&lt;/ref-type&gt;&lt;contributors&gt;&lt;authors&gt;&lt;author&gt;Giaever I. Keese CR,&lt;/author&gt;&lt;/authors&gt;&lt;/contributors&gt;&lt;titles&gt;&lt;title&gt; Use of electric fields to monitor the dynamical aspect of cell behavior in tissue culture&lt;/title&gt;&lt;secondary-title&gt; IEEE Trans Biomed Eng.&lt;/secondary-title&gt;&lt;/titles&gt;&lt;pages&gt;242-7&lt;/pages&gt;&lt;volume&gt;33&lt;/volume&gt;&lt;number&gt;2&lt;/number&gt;&lt;dates&gt;&lt;year&gt;1986&lt;/year&gt;&lt;/dates&gt;&lt;urls&gt;&lt;/urls&gt;&lt;/record&gt;&lt;/Cite&gt;&lt;/EndNote&gt;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8" w:tooltip="Giaever I. Keese CR, 1986 #11" w:history="1">
        <w:r w:rsidRPr="00A537FF">
          <w:rPr>
            <w:rFonts w:ascii="Times New Roman" w:eastAsia="Calibri" w:hAnsi="Times New Roman" w:cs="Times New Roman"/>
            <w:b/>
            <w:bCs/>
            <w:noProof/>
            <w:color w:val="548DD4"/>
            <w:sz w:val="24"/>
            <w:szCs w:val="24"/>
          </w:rPr>
          <w:t>Giaever and Keese, 1986</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 xml:space="preserve">. A reliable and predictive animal model must be employed to assess the safety and efficacy of treatment </w:t>
      </w:r>
    </w:p>
    <w:p w:rsidR="0087106A" w:rsidRDefault="0087106A" w:rsidP="00A537FF">
      <w:pPr>
        <w:spacing w:line="240" w:lineRule="auto"/>
        <w:jc w:val="both"/>
        <w:rPr>
          <w:rFonts w:ascii="Times New Roman" w:eastAsia="Calibri" w:hAnsi="Times New Roman" w:cs="Times New Roman"/>
          <w:sz w:val="24"/>
          <w:szCs w:val="24"/>
        </w:rPr>
      </w:pP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lastRenderedPageBreak/>
        <w:t xml:space="preserve">prior to its use on humans. In addition, cell culture and animal models are far less expensive than clinical studies </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&lt;EndNote&gt;&lt;Cite&gt;&lt;Author&gt;Giaever I. Keese CR&lt;/Author&gt;&lt;Year&gt;1986&lt;/Year&gt;&lt;RecNum&gt;11&lt;/RecNum&gt;&lt;DisplayText&gt;(Giaever I. Keese CR 1986)&lt;/DisplayText&gt;&lt;record&gt;&lt;rec-number&gt;11&lt;/rec-number&gt;&lt;foreign-keys&gt;&lt;key app="EN" db-id="d95ezr9wppad53edzs75rs2cwwpwa22fpfpd"&gt;11&lt;/key&gt;&lt;/foreign-keys&gt;&lt;ref-type name="Journal Article"&gt;17&lt;/ref-type&gt;&lt;contributors&gt;&lt;authors&gt;&lt;author&gt;Giaever I. Keese CR,&lt;/author&gt;&lt;/authors&gt;&lt;/contributors&gt;&lt;titles&gt;&lt;title&gt; Use of electric fields to monitor the dynamical aspect of cell behavior in tissue culture&lt;/title&gt;&lt;secondary-title&gt; IEEE Trans Biomed Eng.&lt;/secondary-title&gt;&lt;/titles&gt;&lt;pages&gt;242-7&lt;/pages&gt;&lt;volume&gt;33&lt;/volume&gt;&lt;number&gt;2&lt;/number&gt;&lt;dates&gt;&lt;year&gt;1986&lt;/year&gt;&lt;/dates&gt;&lt;urls&gt;&lt;/urls&gt;&lt;/record&gt;&lt;/Cite&gt;&lt;/EndNote&gt;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8" w:tooltip="Giaever I. Keese CR, 1986 #11" w:history="1">
        <w:r w:rsidRPr="00A537FF">
          <w:rPr>
            <w:rFonts w:ascii="Times New Roman" w:eastAsia="Calibri" w:hAnsi="Times New Roman" w:cs="Times New Roman"/>
            <w:b/>
            <w:bCs/>
            <w:noProof/>
            <w:color w:val="548DD4"/>
            <w:sz w:val="24"/>
            <w:szCs w:val="24"/>
          </w:rPr>
          <w:t>Giaever and Keese, 1986</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 The present work aimed to evaluate both cytotoxicity and antiviral activity of PMF extract from camel urine using hepatic cancer cell line model (HEPG-2) as a cancer model and vesicular stomatitis virus(VSV) as a virus model in the </w:t>
      </w:r>
      <w:r w:rsidRPr="00A537FF">
        <w:rPr>
          <w:rFonts w:ascii="Times New Roman" w:eastAsia="Calibri" w:hAnsi="Times New Roman" w:cs="Times New Roman"/>
          <w:i/>
          <w:iCs/>
          <w:sz w:val="24"/>
          <w:szCs w:val="24"/>
        </w:rPr>
        <w:t>in vitro</w:t>
      </w:r>
      <w:r w:rsidRPr="00A537FF">
        <w:rPr>
          <w:rFonts w:ascii="Times New Roman" w:eastAsia="Calibri" w:hAnsi="Times New Roman" w:cs="Times New Roman"/>
          <w:sz w:val="24"/>
          <w:szCs w:val="24"/>
        </w:rPr>
        <w:t xml:space="preserve"> part of the study. Also to evaluate the hepatic protective effect of PMF administration on rats treated with CCl4 as a rat model of hepatotoxicity in the </w:t>
      </w:r>
      <w:r w:rsidRPr="00A537FF">
        <w:rPr>
          <w:rFonts w:ascii="Times New Roman" w:eastAsia="Calibri" w:hAnsi="Times New Roman" w:cs="Times New Roman"/>
          <w:i/>
          <w:iCs/>
          <w:sz w:val="24"/>
          <w:szCs w:val="24"/>
        </w:rPr>
        <w:t>in vivo</w:t>
      </w:r>
      <w:r w:rsidRPr="00A537FF">
        <w:rPr>
          <w:rFonts w:ascii="Times New Roman" w:eastAsia="Calibri" w:hAnsi="Times New Roman" w:cs="Times New Roman"/>
          <w:sz w:val="24"/>
          <w:szCs w:val="24"/>
        </w:rPr>
        <w:t xml:space="preserve"> part of the study. </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sz w:val="24"/>
          <w:szCs w:val="24"/>
        </w:rPr>
        <w:t>2. Material and methods</w:t>
      </w:r>
    </w:p>
    <w:p w:rsidR="00A537FF" w:rsidRPr="00A537FF" w:rsidRDefault="00A537FF" w:rsidP="00A537FF">
      <w:pPr>
        <w:spacing w:line="240" w:lineRule="auto"/>
        <w:jc w:val="both"/>
        <w:rPr>
          <w:rFonts w:ascii="Times New Roman" w:eastAsia="Calibri" w:hAnsi="Times New Roman" w:cs="Times New Roman"/>
          <w:b/>
          <w:bCs/>
          <w:i/>
          <w:iCs/>
          <w:sz w:val="24"/>
          <w:szCs w:val="24"/>
        </w:rPr>
      </w:pPr>
      <w:r w:rsidRPr="00A537FF">
        <w:rPr>
          <w:rFonts w:ascii="Times New Roman" w:eastAsia="Calibri" w:hAnsi="Times New Roman" w:cs="Times New Roman"/>
          <w:b/>
          <w:bCs/>
          <w:i/>
          <w:iCs/>
          <w:sz w:val="24"/>
          <w:szCs w:val="24"/>
          <w:lang w:bidi="ar-EG"/>
        </w:rPr>
        <w:t>2.</w:t>
      </w:r>
      <w:r w:rsidRPr="00A537FF">
        <w:rPr>
          <w:rFonts w:ascii="Times New Roman" w:eastAsia="Calibri" w:hAnsi="Times New Roman" w:cs="Times New Roman"/>
          <w:b/>
          <w:bCs/>
          <w:i/>
          <w:iCs/>
          <w:sz w:val="24"/>
          <w:szCs w:val="24"/>
        </w:rPr>
        <w:t xml:space="preserve"> In vitro study</w:t>
      </w:r>
    </w:p>
    <w:p w:rsidR="00A537FF" w:rsidRPr="00A537FF" w:rsidRDefault="00A537FF" w:rsidP="00A537FF">
      <w:pPr>
        <w:spacing w:line="240" w:lineRule="auto"/>
        <w:jc w:val="both"/>
        <w:rPr>
          <w:rFonts w:ascii="Times New Roman" w:eastAsia="Calibri" w:hAnsi="Times New Roman" w:cs="Times New Roman"/>
          <w:b/>
          <w:bCs/>
          <w:i/>
          <w:iCs/>
          <w:sz w:val="24"/>
          <w:szCs w:val="24"/>
        </w:rPr>
      </w:pPr>
      <w:r w:rsidRPr="00A537FF">
        <w:rPr>
          <w:rFonts w:ascii="Times New Roman" w:eastAsia="Calibri" w:hAnsi="Times New Roman" w:cs="Times New Roman"/>
          <w:b/>
          <w:bCs/>
          <w:i/>
          <w:iCs/>
          <w:sz w:val="24"/>
          <w:szCs w:val="24"/>
        </w:rPr>
        <w:t>2.1 Vero and Human hepatocellular carcinoma cells propagation onto cell culture</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Both African green monkey cells (Vero) and human hepatocellular carcinoma cell line (HEPG-2) (ATCC-HB-8065) were cultured in 75-cm</w:t>
      </w:r>
      <w:r w:rsidRPr="00A537FF">
        <w:rPr>
          <w:rFonts w:ascii="Times New Roman" w:eastAsia="Calibri" w:hAnsi="Times New Roman" w:cs="Times New Roman"/>
          <w:sz w:val="24"/>
          <w:szCs w:val="24"/>
          <w:vertAlign w:val="superscript"/>
        </w:rPr>
        <w:t>2</w:t>
      </w:r>
      <w:r w:rsidRPr="00A537FF">
        <w:rPr>
          <w:rFonts w:ascii="Times New Roman" w:eastAsia="Calibri" w:hAnsi="Times New Roman" w:cs="Times New Roman"/>
          <w:sz w:val="24"/>
          <w:szCs w:val="24"/>
        </w:rPr>
        <w:t xml:space="preserve"> tissue culture flasks using EMEM and medium 199E (GIBCO-USA) supplemented with 10% fetal bovine serum (GIBCO-USA). Cell lines were maintained according to the method described by </w:t>
      </w:r>
      <w:r w:rsidRPr="00A537FF">
        <w:rPr>
          <w:rFonts w:ascii="Times New Roman" w:eastAsia="Calibri" w:hAnsi="Times New Roman" w:cs="Times New Roman"/>
          <w:b/>
          <w:bCs/>
          <w:color w:val="548DD4"/>
          <w:sz w:val="24"/>
          <w:szCs w:val="24"/>
        </w:rPr>
        <w:t>Thomson and his colleagues (1998)</w:t>
      </w:r>
      <w:r w:rsidRPr="00A537FF">
        <w:rPr>
          <w:rFonts w:ascii="Times New Roman" w:eastAsia="Calibri" w:hAnsi="Times New Roman" w:cs="Times New Roman"/>
          <w:sz w:val="24"/>
          <w:szCs w:val="24"/>
        </w:rPr>
        <w:t xml:space="preserve"> in which the cells were grown until they reached confluent monolayer. Cells were incubated with trace trypsin-EDTA in the incubator at 37°C until the cells detached from the surface. Cells were re-suspended in growth medium to the desired concentration according to cell count. </w:t>
      </w:r>
      <w:r w:rsidRPr="00A537FF">
        <w:rPr>
          <w:rFonts w:ascii="Times New Roman" w:eastAsia="Calibri" w:hAnsi="Times New Roman" w:cs="Times New Roman"/>
          <w:noProof/>
          <w:sz w:val="24"/>
          <w:szCs w:val="24"/>
        </w:rPr>
        <w:t>The cell</w:t>
      </w:r>
      <w:r w:rsidRPr="00A537FF">
        <w:rPr>
          <w:rFonts w:ascii="Times New Roman" w:eastAsia="Calibri" w:hAnsi="Times New Roman" w:cs="Times New Roman"/>
          <w:sz w:val="24"/>
          <w:szCs w:val="24"/>
        </w:rPr>
        <w:t xml:space="preserve"> suspension was incubated in new culture growth media in new flasks and incubated at 37°C until confluence. The cell number in the suspension was calculated using Trypan blue exclusion assay according to </w:t>
      </w:r>
      <w:r w:rsidRPr="00A537FF">
        <w:rPr>
          <w:rFonts w:ascii="Times New Roman" w:eastAsia="Calibri" w:hAnsi="Times New Roman" w:cs="Times New Roman"/>
          <w:b/>
          <w:bCs/>
          <w:color w:val="548DD4"/>
          <w:sz w:val="24"/>
          <w:szCs w:val="24"/>
        </w:rPr>
        <w:t>Altman and his coworkers (1993)</w:t>
      </w:r>
      <w:r w:rsidRPr="00A537FF">
        <w:rPr>
          <w:rFonts w:ascii="Times New Roman" w:eastAsia="Calibri" w:hAnsi="Times New Roman" w:cs="Times New Roman"/>
          <w:color w:val="0D0D0D"/>
          <w:sz w:val="24"/>
          <w:szCs w:val="24"/>
        </w:rPr>
        <w:t xml:space="preserve"> method.</w:t>
      </w:r>
    </w:p>
    <w:p w:rsidR="00A537FF" w:rsidRPr="00A537FF" w:rsidRDefault="00A537FF" w:rsidP="00A537FF">
      <w:pPr>
        <w:spacing w:line="240" w:lineRule="auto"/>
        <w:jc w:val="both"/>
        <w:rPr>
          <w:rFonts w:ascii="Times New Roman" w:eastAsia="Calibri" w:hAnsi="Times New Roman" w:cs="Times New Roman"/>
          <w:b/>
          <w:bCs/>
          <w:i/>
          <w:iCs/>
          <w:sz w:val="24"/>
          <w:szCs w:val="24"/>
        </w:rPr>
      </w:pPr>
      <w:r w:rsidRPr="00A537FF">
        <w:rPr>
          <w:rFonts w:ascii="Times New Roman" w:eastAsia="Calibri" w:hAnsi="Times New Roman" w:cs="Times New Roman"/>
          <w:sz w:val="24"/>
          <w:szCs w:val="24"/>
        </w:rPr>
        <w:t xml:space="preserve">2.2 </w:t>
      </w:r>
      <w:r w:rsidRPr="00A537FF">
        <w:rPr>
          <w:rFonts w:ascii="Times New Roman" w:eastAsia="Calibri" w:hAnsi="Times New Roman" w:cs="Times New Roman"/>
          <w:b/>
          <w:bCs/>
          <w:i/>
          <w:iCs/>
          <w:sz w:val="24"/>
          <w:szCs w:val="24"/>
        </w:rPr>
        <w:t>Vesicular stomatitis virus propagation onto cell culture</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Sterile VSV was inoculated into pre-cultured Vero cells tissue culture flask. Infected flasks were incubated at 37°C (Jouan-France) for an adsorption period of 1-1.5 hrs with gentle mixing at timed intervals of 15 min. Maintenance medium was added to infected flasks. Non-infected cell culture control was included. Cultures were incubated at 37°C and examined daily under the inverted microscope (Hund, Germany) until the initial detection of a </w:t>
      </w:r>
      <w:r w:rsidRPr="00A537FF">
        <w:rPr>
          <w:rFonts w:ascii="Times New Roman" w:eastAsia="Calibri" w:hAnsi="Times New Roman" w:cs="Times New Roman"/>
          <w:noProof/>
          <w:sz w:val="24"/>
          <w:szCs w:val="24"/>
        </w:rPr>
        <w:t>cytopathic</w:t>
      </w:r>
      <w:r w:rsidRPr="00A537FF">
        <w:rPr>
          <w:rFonts w:ascii="Times New Roman" w:eastAsia="Calibri" w:hAnsi="Times New Roman" w:cs="Times New Roman"/>
          <w:sz w:val="24"/>
          <w:szCs w:val="24"/>
        </w:rPr>
        <w:t xml:space="preserve"> effect. Flasks that showed 90% cytopathic effects (CPE) were frozen and thawed three successive times for virus extraction according to </w:t>
      </w:r>
      <w:r w:rsidRPr="00A537FF">
        <w:rPr>
          <w:rFonts w:ascii="Times New Roman" w:eastAsia="Calibri" w:hAnsi="Times New Roman" w:cs="Times New Roman"/>
          <w:b/>
          <w:bCs/>
          <w:color w:val="548DD4"/>
          <w:sz w:val="24"/>
          <w:szCs w:val="24"/>
        </w:rPr>
        <w:t xml:space="preserve">Nee and his researchers (2011) </w:t>
      </w:r>
      <w:r w:rsidRPr="00A537FF">
        <w:rPr>
          <w:rFonts w:ascii="Times New Roman" w:eastAsia="Calibri" w:hAnsi="Times New Roman" w:cs="Times New Roman"/>
          <w:color w:val="0D0D0D"/>
          <w:sz w:val="24"/>
          <w:szCs w:val="24"/>
        </w:rPr>
        <w:t>method</w:t>
      </w:r>
      <w:r w:rsidRPr="00A537FF">
        <w:rPr>
          <w:rFonts w:ascii="Times New Roman" w:eastAsia="Calibri" w:hAnsi="Times New Roman" w:cs="Times New Roman"/>
          <w:sz w:val="24"/>
          <w:szCs w:val="24"/>
        </w:rPr>
        <w:t xml:space="preserve">. </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lang w:bidi="ar-EG"/>
        </w:rPr>
        <w:t>2.3</w:t>
      </w:r>
      <w:r w:rsidRPr="00A537FF">
        <w:rPr>
          <w:rFonts w:ascii="Times New Roman" w:eastAsia="Calibri" w:hAnsi="Times New Roman" w:cs="Times New Roman"/>
          <w:b/>
          <w:bCs/>
          <w:i/>
          <w:iCs/>
          <w:sz w:val="24"/>
          <w:szCs w:val="24"/>
        </w:rPr>
        <w:t xml:space="preserve"> Virus infectivity titer assessment</w:t>
      </w:r>
    </w:p>
    <w:p w:rsidR="0087106A"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The virus infectivity titer was assessed according to </w:t>
      </w:r>
      <w:r w:rsidRPr="00A537FF">
        <w:rPr>
          <w:rFonts w:ascii="Times New Roman" w:eastAsia="Calibri" w:hAnsi="Times New Roman" w:cs="Times New Roman"/>
          <w:b/>
          <w:bCs/>
          <w:color w:val="548DD4"/>
          <w:sz w:val="24"/>
          <w:szCs w:val="24"/>
        </w:rPr>
        <w:t>Reed and Muench study (1938)</w:t>
      </w:r>
      <w:r w:rsidRPr="00A537FF">
        <w:rPr>
          <w:rFonts w:ascii="Times New Roman" w:eastAsia="Calibri" w:hAnsi="Times New Roman" w:cs="Times New Roman"/>
          <w:color w:val="0D0D0D"/>
          <w:sz w:val="24"/>
          <w:szCs w:val="24"/>
        </w:rPr>
        <w:t xml:space="preserve">method </w:t>
      </w:r>
      <w:r w:rsidRPr="00A537FF">
        <w:rPr>
          <w:rFonts w:ascii="Times New Roman" w:eastAsia="Calibri" w:hAnsi="Times New Roman" w:cs="Times New Roman"/>
          <w:sz w:val="24"/>
          <w:szCs w:val="24"/>
        </w:rPr>
        <w:t>to determine the highest dilution of the virus that produced CPE in 50% of the infected cells (TCID50). VSV was 10 fold diluted in culture medium. Vero cells pre-cultured on 96 well plates (10</w:t>
      </w:r>
      <w:r w:rsidRPr="00A537FF">
        <w:rPr>
          <w:rFonts w:ascii="Times New Roman" w:eastAsia="Calibri" w:hAnsi="Times New Roman" w:cs="Times New Roman"/>
          <w:sz w:val="24"/>
          <w:szCs w:val="24"/>
          <w:vertAlign w:val="superscript"/>
        </w:rPr>
        <w:t>4</w:t>
      </w:r>
      <w:r w:rsidRPr="00A537FF">
        <w:rPr>
          <w:rFonts w:ascii="Times New Roman" w:eastAsia="Calibri" w:hAnsi="Times New Roman" w:cs="Times New Roman"/>
          <w:sz w:val="24"/>
          <w:szCs w:val="24"/>
        </w:rPr>
        <w:t xml:space="preserve"> cells/ well) were infected using the serially diluted VSV on the reciprocal wells. On confluence, the medium was decanted 100 μl/well of each dilution of the virus suspension into 8 wells (using separate tips for each dilution). Two successive columns of non-inoculated wells were maintained as a </w:t>
      </w:r>
      <w:r w:rsidRPr="00A537FF">
        <w:rPr>
          <w:rFonts w:ascii="Times New Roman" w:eastAsia="Calibri" w:hAnsi="Times New Roman" w:cs="Times New Roman"/>
          <w:noProof/>
          <w:sz w:val="24"/>
          <w:szCs w:val="24"/>
        </w:rPr>
        <w:t>negative</w:t>
      </w:r>
      <w:r w:rsidRPr="00A537FF">
        <w:rPr>
          <w:rFonts w:ascii="Times New Roman" w:eastAsia="Calibri" w:hAnsi="Times New Roman" w:cs="Times New Roman"/>
          <w:sz w:val="24"/>
          <w:szCs w:val="24"/>
        </w:rPr>
        <w:t xml:space="preserve"> control. Plates were incubated at 37°C; seven days post incubation, the number of wells per each dilution showed CPE were recorded. The 50% endpoint </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lastRenderedPageBreak/>
        <w:t xml:space="preserve">was determined according to the method of </w:t>
      </w:r>
      <w:r w:rsidRPr="00A537FF">
        <w:rPr>
          <w:rFonts w:ascii="Times New Roman" w:eastAsia="Calibri" w:hAnsi="Times New Roman" w:cs="Times New Roman"/>
          <w:b/>
          <w:bCs/>
          <w:color w:val="548DD4"/>
          <w:sz w:val="24"/>
          <w:szCs w:val="24"/>
        </w:rPr>
        <w:t>Reed and Muench (1938)</w:t>
      </w:r>
      <w:r w:rsidRPr="00A537FF">
        <w:rPr>
          <w:rFonts w:ascii="Times New Roman" w:eastAsia="Calibri" w:hAnsi="Times New Roman" w:cs="Times New Roman"/>
          <w:sz w:val="24"/>
          <w:szCs w:val="24"/>
        </w:rPr>
        <w:t xml:space="preserve"> as follows: 50% endpoint = (percentage of CPE of &gt;50% − 50%) / (percentage of CPE of &gt;50 % − percentage with CPE 0f &lt;50%) X log dilution</w:t>
      </w:r>
      <w:r w:rsidRPr="00A537FF">
        <w:rPr>
          <w:rFonts w:ascii="Times New Roman" w:eastAsia="Calibri" w:hAnsi="Times New Roman" w:cs="Times New Roman"/>
          <w:sz w:val="24"/>
          <w:szCs w:val="24"/>
          <w:rtl/>
        </w:rPr>
        <w:t>.</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i/>
          <w:iCs/>
          <w:sz w:val="24"/>
          <w:szCs w:val="24"/>
        </w:rPr>
        <w:t>2.4 Evaluation of PMF cytotoxicity using MTT assay</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The MTT (3-[4, 5-dimethylthiazol-2-yl]-2, 5 diphenyltetrazolium bromide) assay is based on the conversion of MTT into Formosan crystals by living cells that determined mitochondrial activity. Since for most cell </w:t>
      </w:r>
      <w:r w:rsidRPr="00A537FF">
        <w:rPr>
          <w:rFonts w:ascii="Times New Roman" w:eastAsia="Calibri" w:hAnsi="Times New Roman" w:cs="Times New Roman"/>
          <w:noProof/>
          <w:sz w:val="24"/>
          <w:szCs w:val="24"/>
        </w:rPr>
        <w:t>populations</w:t>
      </w:r>
      <w:r w:rsidRPr="00A537FF">
        <w:rPr>
          <w:rFonts w:ascii="Times New Roman" w:eastAsia="Calibri" w:hAnsi="Times New Roman" w:cs="Times New Roman"/>
          <w:sz w:val="24"/>
          <w:szCs w:val="24"/>
        </w:rPr>
        <w:t xml:space="preserve">, the total mitochondrial activity is related to the number of viable cells </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&lt;EndNote&gt;&lt;Cite&gt;&lt;Author&gt;VanMeerlooH J. Kaspers  J&lt;/Author&gt;&lt;Year&gt;2011&lt;/Year&gt;&lt;RecNum&gt;23&lt;/RecNum&gt;&lt;DisplayText&gt;(VanMeerlooH J. Kaspers  J 2011)&lt;/DisplayText&gt;&lt;record&gt;&lt;rec-number&gt;23&lt;/rec-number&gt;&lt;foreign-keys&gt;&lt;key app="EN" db-id="d95ezr9wppad53edzs75rs2cwwpwa22fpfpd"&gt;23&lt;/key&gt;&lt;/foreign-keys&gt;&lt;ref-type name="Journal Article"&gt;17&lt;/ref-type&gt;&lt;contributors&gt;&lt;authors&gt;&lt;author&gt;VanMeerlooH J. Kaspers  J,&lt;/author&gt;&lt;/authors&gt;&lt;/contributors&gt;&lt;titles&gt;&lt;title&gt;Cell sensitivity assays: the MTT assay&lt;/title&gt;&lt;secondary-title&gt;Methods Mol  Biol. &lt;/secondary-title&gt;&lt;/titles&gt;&lt;periodical&gt;&lt;full-title&gt;Methods Mol  Biol.&lt;/full-title&gt;&lt;/periodical&gt;&lt;pages&gt;237-45&lt;/pages&gt;&lt;volume&gt;731&lt;/volume&gt;&lt;number&gt;1&lt;/number&gt;&lt;dates&gt;&lt;year&gt;2011&lt;/year&gt;&lt;/dates&gt;&lt;urls&gt;&lt;/urls&gt;&lt;/record&gt;&lt;/Cite&gt;&lt;/EndNote&gt;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25" w:tooltip="VanMeerlooH J. Kaspers  J, 2011 #23" w:history="1">
        <w:r w:rsidRPr="00A537FF">
          <w:rPr>
            <w:rFonts w:ascii="Times New Roman" w:eastAsia="Calibri" w:hAnsi="Times New Roman" w:cs="Times New Roman"/>
            <w:b/>
            <w:bCs/>
            <w:noProof/>
            <w:color w:val="548DD4"/>
            <w:sz w:val="24"/>
            <w:szCs w:val="24"/>
          </w:rPr>
          <w:t>VanMeerloo and Kaspers, 2011</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 xml:space="preserve">. Cellular cytotoxicity was determined using MTT assay as described by </w:t>
      </w:r>
      <w:r w:rsidRPr="00A537FF">
        <w:rPr>
          <w:rFonts w:ascii="Times New Roman" w:eastAsia="Calibri" w:hAnsi="Times New Roman" w:cs="Times New Roman"/>
          <w:b/>
          <w:bCs/>
          <w:color w:val="548DD4"/>
          <w:sz w:val="24"/>
          <w:szCs w:val="24"/>
        </w:rPr>
        <w:t>Ueda et al. (1989)</w:t>
      </w:r>
      <w:r w:rsidRPr="00A537FF">
        <w:rPr>
          <w:rFonts w:ascii="Times New Roman" w:eastAsia="Calibri" w:hAnsi="Times New Roman" w:cs="Times New Roman"/>
          <w:sz w:val="24"/>
          <w:szCs w:val="24"/>
        </w:rPr>
        <w:t>. PMF was dissolved in EMEM, at the concentrations of 24 and 120 µg/ml. Double fold dilutions were prepared of both concentrations. Cell lines were counted as 10</w:t>
      </w:r>
      <w:r w:rsidRPr="00A537FF">
        <w:rPr>
          <w:rFonts w:ascii="Times New Roman" w:eastAsia="Calibri" w:hAnsi="Times New Roman" w:cs="Times New Roman"/>
          <w:sz w:val="24"/>
          <w:szCs w:val="24"/>
          <w:vertAlign w:val="superscript"/>
        </w:rPr>
        <w:t>5</w:t>
      </w:r>
      <w:r w:rsidRPr="00A537FF">
        <w:rPr>
          <w:rFonts w:ascii="Times New Roman" w:eastAsia="Calibri" w:hAnsi="Times New Roman" w:cs="Times New Roman"/>
          <w:sz w:val="24"/>
          <w:szCs w:val="24"/>
        </w:rPr>
        <w:t xml:space="preserve"> cells/ ml and cultured in 96-well tissue culture plates. On confluence, growth media were discarded and 100 μl of each dilution of PMF was inoculated into 8 wells of the plates. The plates were incubated at 37°C for 24 hrs. Media containing PMF of different dilutions were decanted and plates were washed with phosphate buffered saline three times. Plates were stained using MTT (0.05 ml/well) for 4 hrs. at 37° C. Developed MTT-Formazan complex was dissolved using 0.05 ml of </w:t>
      </w:r>
      <w:r w:rsidRPr="00A537FF">
        <w:rPr>
          <w:rFonts w:ascii="Times New Roman" w:eastAsia="Calibri" w:hAnsi="Times New Roman" w:cs="Times New Roman"/>
          <w:color w:val="545454"/>
          <w:sz w:val="24"/>
          <w:szCs w:val="24"/>
          <w:shd w:val="clear" w:color="auto" w:fill="FFFFFF"/>
        </w:rPr>
        <w:t>dimethyl sulfoxide</w:t>
      </w:r>
      <w:r w:rsidRPr="00A537FF">
        <w:rPr>
          <w:rFonts w:ascii="Times New Roman" w:eastAsia="Calibri" w:hAnsi="Times New Roman" w:cs="Times New Roman"/>
          <w:sz w:val="24"/>
          <w:szCs w:val="24"/>
        </w:rPr>
        <w:t xml:space="preserve">. Plates were incubated for 30 minutes at 37º C for cell lysis. Optical density was measured using ELISA reader at a </w:t>
      </w:r>
      <w:r w:rsidRPr="00A537FF">
        <w:rPr>
          <w:rFonts w:ascii="Times New Roman" w:eastAsia="Calibri" w:hAnsi="Times New Roman" w:cs="Times New Roman"/>
          <w:noProof/>
          <w:sz w:val="24"/>
          <w:szCs w:val="24"/>
        </w:rPr>
        <w:t>wavelength</w:t>
      </w:r>
      <w:r w:rsidRPr="00A537FF">
        <w:rPr>
          <w:rFonts w:ascii="Times New Roman" w:eastAsia="Calibri" w:hAnsi="Times New Roman" w:cs="Times New Roman"/>
          <w:sz w:val="24"/>
          <w:szCs w:val="24"/>
        </w:rPr>
        <w:t xml:space="preserve"> of 550-570 nm. The percentage of viability was determined according to the method described by </w:t>
      </w:r>
      <w:r w:rsidRPr="00A537FF">
        <w:rPr>
          <w:rFonts w:ascii="Times New Roman" w:eastAsia="Calibri" w:hAnsi="Times New Roman" w:cs="Times New Roman"/>
          <w:b/>
          <w:bCs/>
          <w:color w:val="548DD4"/>
          <w:sz w:val="24"/>
          <w:szCs w:val="24"/>
        </w:rPr>
        <w:t>Ho-Joon et al. (2000)</w:t>
      </w:r>
      <w:r w:rsidRPr="00A537FF">
        <w:rPr>
          <w:rFonts w:ascii="Times New Roman" w:eastAsia="Calibri" w:hAnsi="Times New Roman" w:cs="Times New Roman"/>
          <w:sz w:val="24"/>
          <w:szCs w:val="24"/>
        </w:rPr>
        <w:t xml:space="preserve"> as follows</w:t>
      </w:r>
      <w:r w:rsidRPr="00A537FF">
        <w:rPr>
          <w:rFonts w:ascii="Times New Roman" w:eastAsia="Calibri" w:hAnsi="Times New Roman" w:cs="Times New Roman"/>
          <w:sz w:val="24"/>
          <w:szCs w:val="24"/>
          <w:rtl/>
        </w:rPr>
        <w:t>:</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Number of residual living cells = (OD of treated cells/ OD of untreated cells) X number of negative control cells </w:t>
      </w:r>
      <w:r w:rsidRPr="00A537FF">
        <w:rPr>
          <w:rFonts w:ascii="Times New Roman" w:eastAsia="Calibri" w:hAnsi="Times New Roman" w:cs="Times New Roman"/>
          <w:color w:val="0D0D0D"/>
          <w:sz w:val="24"/>
          <w:szCs w:val="24"/>
        </w:rPr>
        <w:t>(10</w:t>
      </w:r>
      <w:r w:rsidRPr="00A537FF">
        <w:rPr>
          <w:rFonts w:ascii="Times New Roman" w:eastAsia="Calibri" w:hAnsi="Times New Roman" w:cs="Times New Roman"/>
          <w:color w:val="0D0D0D"/>
          <w:sz w:val="24"/>
          <w:szCs w:val="24"/>
          <w:vertAlign w:val="superscript"/>
        </w:rPr>
        <w:t>4</w:t>
      </w:r>
      <w:r w:rsidRPr="00A537FF">
        <w:rPr>
          <w:rFonts w:ascii="Times New Roman" w:eastAsia="Calibri" w:hAnsi="Times New Roman" w:cs="Times New Roman"/>
          <w:color w:val="0D0D0D"/>
          <w:sz w:val="24"/>
          <w:szCs w:val="24"/>
        </w:rPr>
        <w:t xml:space="preserve"> cells/ 0.1ml)</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Percentage viability = (Number of residual living cells / number of negative control cells) X 100</w:t>
      </w:r>
      <w:r w:rsidRPr="00A537FF">
        <w:rPr>
          <w:rFonts w:ascii="Times New Roman" w:eastAsia="Calibri" w:hAnsi="Times New Roman" w:cs="Times New Roman"/>
          <w:sz w:val="24"/>
          <w:szCs w:val="24"/>
          <w:rtl/>
        </w:rPr>
        <w:t>.</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i/>
          <w:iCs/>
          <w:sz w:val="24"/>
          <w:szCs w:val="24"/>
        </w:rPr>
        <w:t>2.5 Evaluation of anti-viral activity of PMF against VSV</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The antiviral activity of PMF against VSV was determined according to the method described by </w:t>
      </w:r>
      <w:r w:rsidRPr="00A537FF">
        <w:rPr>
          <w:rFonts w:ascii="Times New Roman" w:eastAsia="Calibri" w:hAnsi="Times New Roman" w:cs="Times New Roman"/>
          <w:b/>
          <w:bCs/>
          <w:color w:val="548DD4"/>
          <w:sz w:val="24"/>
          <w:szCs w:val="24"/>
        </w:rPr>
        <w:t>Shinji (2005)</w:t>
      </w:r>
      <w:r w:rsidRPr="00A537FF">
        <w:rPr>
          <w:rFonts w:ascii="Times New Roman" w:eastAsia="Calibri" w:hAnsi="Times New Roman" w:cs="Times New Roman"/>
          <w:sz w:val="24"/>
          <w:szCs w:val="24"/>
        </w:rPr>
        <w:t xml:space="preserve"> where non-toxic concentrations of PMF was prepared in EMEM to contain 60, 30, 15 µg/ml, respectively. Vero cells were counted as 10</w:t>
      </w:r>
      <w:r w:rsidRPr="00A537FF">
        <w:rPr>
          <w:rFonts w:ascii="Times New Roman" w:eastAsia="Calibri" w:hAnsi="Times New Roman" w:cs="Times New Roman"/>
          <w:sz w:val="24"/>
          <w:szCs w:val="24"/>
          <w:vertAlign w:val="superscript"/>
        </w:rPr>
        <w:t>5</w:t>
      </w:r>
      <w:r w:rsidRPr="00A537FF">
        <w:rPr>
          <w:rFonts w:ascii="Times New Roman" w:eastAsia="Calibri" w:hAnsi="Times New Roman" w:cs="Times New Roman"/>
          <w:sz w:val="24"/>
          <w:szCs w:val="24"/>
        </w:rPr>
        <w:t xml:space="preserve"> cells/ ml and cultured in 96-well tissue culture plates. On confluence, growth media were discarded. PMF (under test for antiviral activity) were dispensed to the reciprocal wells of the precultured plates 100 µl/well. One PMF non treated plate was maintained for viral control titration. All plates were incubated at 37°C for 24 hrs. VSV was 10 fold serially diluted in EMEM (6 dilutions 10</w:t>
      </w:r>
      <w:r w:rsidRPr="00A537FF">
        <w:rPr>
          <w:rFonts w:ascii="Times New Roman" w:eastAsia="Calibri" w:hAnsi="Times New Roman" w:cs="Times New Roman"/>
          <w:sz w:val="24"/>
          <w:szCs w:val="24"/>
          <w:vertAlign w:val="superscript"/>
        </w:rPr>
        <w:t>-2</w:t>
      </w:r>
      <w:r w:rsidRPr="00A537FF">
        <w:rPr>
          <w:rFonts w:ascii="Times New Roman" w:eastAsia="Calibri" w:hAnsi="Times New Roman" w:cs="Times New Roman"/>
          <w:sz w:val="24"/>
          <w:szCs w:val="24"/>
        </w:rPr>
        <w:t xml:space="preserve"> - 10</w:t>
      </w:r>
      <w:r w:rsidRPr="00A537FF">
        <w:rPr>
          <w:rFonts w:ascii="Times New Roman" w:eastAsia="Calibri" w:hAnsi="Times New Roman" w:cs="Times New Roman"/>
          <w:sz w:val="24"/>
          <w:szCs w:val="24"/>
          <w:vertAlign w:val="superscript"/>
        </w:rPr>
        <w:t>-8</w:t>
      </w:r>
      <w:r w:rsidRPr="00A537FF">
        <w:rPr>
          <w:rFonts w:ascii="Times New Roman" w:eastAsia="Calibri" w:hAnsi="Times New Roman" w:cs="Times New Roman"/>
          <w:sz w:val="24"/>
          <w:szCs w:val="24"/>
        </w:rPr>
        <w:t>). Growth/ treatment media were decanted; each virus dilution was inoculated at 100 µl /well. Plates were incubated at 37°C and examined daily under the inverted microscope. Three days post incubation, the virus titer was calculated in each plate. The antiviral activities were calculated by determining VSV mean titer in treated and untreated cells. The difference between both titers refers to the antiviral activity</w:t>
      </w:r>
      <w:r w:rsidRPr="00A537FF">
        <w:rPr>
          <w:rFonts w:ascii="Times New Roman" w:eastAsia="Calibri" w:hAnsi="Times New Roman" w:cs="Times New Roman"/>
          <w:sz w:val="24"/>
          <w:szCs w:val="24"/>
          <w:rtl/>
        </w:rPr>
        <w:t>.</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i/>
          <w:iCs/>
          <w:sz w:val="24"/>
          <w:szCs w:val="24"/>
        </w:rPr>
        <w:t>2.6 Virucidal activity</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Virucidal activity was monitored based on the evaluation of direct contact of VSV with PMF follow by collecting samples from 37°C incubated PMF–virus mix. Collected samples which titrated the treatment test were repeated in triplicates and the mean depletion rate was calculated according to </w:t>
      </w:r>
      <w:r w:rsidRPr="00A537FF">
        <w:rPr>
          <w:rFonts w:ascii="Times New Roman" w:eastAsia="Calibri" w:hAnsi="Times New Roman" w:cs="Times New Roman"/>
          <w:b/>
          <w:bCs/>
          <w:color w:val="548DD4"/>
          <w:sz w:val="24"/>
          <w:szCs w:val="24"/>
        </w:rPr>
        <w:t xml:space="preserve">Reed and Muench (1938) </w:t>
      </w:r>
      <w:r w:rsidRPr="00A537FF">
        <w:rPr>
          <w:rFonts w:ascii="Times New Roman" w:eastAsia="Calibri" w:hAnsi="Times New Roman" w:cs="Times New Roman"/>
          <w:sz w:val="24"/>
          <w:szCs w:val="24"/>
        </w:rPr>
        <w:t>method.</w:t>
      </w:r>
    </w:p>
    <w:p w:rsidR="00A537FF" w:rsidRPr="00A537FF" w:rsidRDefault="00A537FF" w:rsidP="00A537FF">
      <w:pPr>
        <w:spacing w:line="240" w:lineRule="auto"/>
        <w:jc w:val="both"/>
        <w:rPr>
          <w:rFonts w:ascii="Times New Roman" w:eastAsia="Calibri" w:hAnsi="Times New Roman" w:cs="Times New Roman"/>
          <w:b/>
          <w:bCs/>
          <w:i/>
          <w:iCs/>
          <w:sz w:val="24"/>
          <w:szCs w:val="24"/>
        </w:rPr>
      </w:pPr>
      <w:r w:rsidRPr="00A537FF">
        <w:rPr>
          <w:rFonts w:ascii="Times New Roman" w:eastAsia="Calibri" w:hAnsi="Times New Roman" w:cs="Times New Roman"/>
          <w:b/>
          <w:bCs/>
          <w:i/>
          <w:iCs/>
          <w:sz w:val="24"/>
          <w:szCs w:val="24"/>
        </w:rPr>
        <w:lastRenderedPageBreak/>
        <w:t>2.7. In vivo study</w:t>
      </w:r>
    </w:p>
    <w:p w:rsidR="00A537FF" w:rsidRPr="00A537FF" w:rsidRDefault="00A537FF" w:rsidP="00A537FF">
      <w:pPr>
        <w:spacing w:line="240" w:lineRule="auto"/>
        <w:jc w:val="both"/>
        <w:rPr>
          <w:rFonts w:ascii="Times New Roman" w:eastAsia="Times New Roman" w:hAnsi="Times New Roman" w:cs="Times New Roman"/>
          <w:b/>
          <w:bCs/>
          <w:color w:val="0D0D0D"/>
          <w:sz w:val="24"/>
          <w:szCs w:val="24"/>
        </w:rPr>
      </w:pPr>
      <w:r w:rsidRPr="00A537FF">
        <w:rPr>
          <w:rFonts w:ascii="Times New Roman" w:eastAsia="Calibri" w:hAnsi="Times New Roman" w:cs="Times New Roman"/>
          <w:sz w:val="24"/>
          <w:szCs w:val="24"/>
        </w:rPr>
        <w:t xml:space="preserve">In this study 180 </w:t>
      </w:r>
      <w:r w:rsidRPr="00A537FF">
        <w:rPr>
          <w:rFonts w:ascii="Times New Roman" w:eastAsia="Calibri" w:hAnsi="Times New Roman" w:cs="Times New Roman"/>
          <w:noProof/>
          <w:sz w:val="24"/>
          <w:szCs w:val="24"/>
        </w:rPr>
        <w:t>adult</w:t>
      </w:r>
      <w:r w:rsidRPr="00A537FF">
        <w:rPr>
          <w:rFonts w:ascii="Times New Roman" w:eastAsia="Calibri" w:hAnsi="Times New Roman" w:cs="Times New Roman"/>
          <w:sz w:val="24"/>
          <w:szCs w:val="24"/>
        </w:rPr>
        <w:t xml:space="preserve"> male Albino rats (weighs 200- 230 grams) were used. The animals were purchased from the animal house at King Fahd medical research center (KFMRC) in King Abdul-Aziz University (KAU). </w:t>
      </w:r>
      <w:r w:rsidRPr="00A537FF">
        <w:rPr>
          <w:rFonts w:ascii="Times New Roman" w:eastAsia="Times New Roman" w:hAnsi="Times New Roman" w:cs="Times New Roman"/>
          <w:color w:val="0D0D0D"/>
          <w:sz w:val="24"/>
          <w:szCs w:val="24"/>
        </w:rPr>
        <w:t>“All applicable international, national, and/or institutional guidelines for the care and use of animals were followed during all experimental procedures.”</w:t>
      </w:r>
      <w:r w:rsidRPr="00A537FF">
        <w:rPr>
          <w:rFonts w:ascii="Times New Roman" w:eastAsia="Calibri" w:hAnsi="Times New Roman" w:cs="Times New Roman"/>
          <w:sz w:val="24"/>
          <w:szCs w:val="24"/>
        </w:rPr>
        <w:t xml:space="preserve"> They were maintained on a </w:t>
      </w:r>
      <w:r w:rsidRPr="00A537FF">
        <w:rPr>
          <w:rFonts w:ascii="Times New Roman" w:eastAsia="Calibri" w:hAnsi="Times New Roman" w:cs="Times New Roman"/>
          <w:noProof/>
          <w:sz w:val="24"/>
          <w:szCs w:val="24"/>
        </w:rPr>
        <w:t>standard</w:t>
      </w:r>
      <w:r w:rsidRPr="00A537FF">
        <w:rPr>
          <w:rFonts w:ascii="Times New Roman" w:eastAsia="Calibri" w:hAnsi="Times New Roman" w:cs="Times New Roman"/>
          <w:sz w:val="24"/>
          <w:szCs w:val="24"/>
        </w:rPr>
        <w:t xml:space="preserve"> pellet diet and tap water and each group were kept in a single metallic cage under a 12 hour light/dark cycle and room temperature 22-24°C in the </w:t>
      </w:r>
      <w:r w:rsidRPr="00A537FF">
        <w:rPr>
          <w:rFonts w:ascii="Times New Roman" w:eastAsia="Calibri" w:hAnsi="Times New Roman" w:cs="Times New Roman"/>
          <w:noProof/>
          <w:sz w:val="24"/>
          <w:szCs w:val="24"/>
        </w:rPr>
        <w:t>animal</w:t>
      </w:r>
      <w:r w:rsidRPr="00A537FF">
        <w:rPr>
          <w:rFonts w:ascii="Times New Roman" w:eastAsia="Calibri" w:hAnsi="Times New Roman" w:cs="Times New Roman"/>
          <w:sz w:val="24"/>
          <w:szCs w:val="24"/>
        </w:rPr>
        <w:t xml:space="preserve"> house at KFMRC, KAU. Rats were acclimatized to the environment for one week prior to experimental use.Rats were divided into four equal groups (45 rats each). These groups were G1: the healthy negative control group, G2: control group of </w:t>
      </w:r>
      <w:r w:rsidRPr="00A537FF">
        <w:rPr>
          <w:rFonts w:ascii="Times New Roman" w:eastAsia="Calibri" w:hAnsi="Times New Roman" w:cs="Times New Roman"/>
          <w:color w:val="000000"/>
          <w:sz w:val="24"/>
          <w:szCs w:val="24"/>
          <w:shd w:val="clear" w:color="auto" w:fill="FFFFFF"/>
        </w:rPr>
        <w:t>carbon tetrachloride</w:t>
      </w:r>
      <w:r w:rsidRPr="00A537FF">
        <w:rPr>
          <w:rFonts w:ascii="Arial" w:eastAsia="Calibri" w:hAnsi="Arial" w:cs="Arial"/>
          <w:color w:val="545454"/>
          <w:sz w:val="24"/>
          <w:szCs w:val="24"/>
          <w:shd w:val="clear" w:color="auto" w:fill="FFFFFF"/>
        </w:rPr>
        <w:t> </w:t>
      </w:r>
      <w:r w:rsidRPr="00A537FF">
        <w:rPr>
          <w:rFonts w:ascii="Times New Roman" w:eastAsia="Calibri" w:hAnsi="Times New Roman" w:cs="Times New Roman"/>
          <w:sz w:val="24"/>
          <w:szCs w:val="24"/>
        </w:rPr>
        <w:t>(CCl</w:t>
      </w:r>
      <w:r w:rsidRPr="00A537FF">
        <w:rPr>
          <w:rFonts w:ascii="Times New Roman" w:eastAsia="Calibri" w:hAnsi="Times New Roman" w:cs="Times New Roman"/>
          <w:sz w:val="24"/>
          <w:szCs w:val="24"/>
          <w:vertAlign w:val="subscript"/>
        </w:rPr>
        <w:t>4</w:t>
      </w:r>
      <w:r w:rsidRPr="00A537FF">
        <w:rPr>
          <w:rFonts w:ascii="Times New Roman" w:eastAsia="Calibri" w:hAnsi="Times New Roman" w:cs="Times New Roman"/>
          <w:sz w:val="24"/>
          <w:szCs w:val="24"/>
        </w:rPr>
        <w:t>) that received intra-peritoneal injection of CCl</w:t>
      </w:r>
      <w:r w:rsidRPr="00A537FF">
        <w:rPr>
          <w:rFonts w:ascii="Times New Roman" w:eastAsia="Calibri" w:hAnsi="Times New Roman" w:cs="Times New Roman"/>
          <w:sz w:val="24"/>
          <w:szCs w:val="24"/>
          <w:vertAlign w:val="subscript"/>
        </w:rPr>
        <w:t>4</w:t>
      </w:r>
      <w:r w:rsidRPr="00A537FF">
        <w:rPr>
          <w:rFonts w:ascii="Times New Roman" w:eastAsia="Calibri" w:hAnsi="Times New Roman" w:cs="Times New Roman"/>
          <w:sz w:val="24"/>
          <w:szCs w:val="24"/>
        </w:rPr>
        <w:t xml:space="preserve"> (1 ml/kg b.w.) (Merck-Germany) for 2 days to induced hepatotoxicity, G3: healthy positive control group that received PMF orally (0.35 g /200 g</w:t>
      </w:r>
      <w:r w:rsidRPr="00A537FF">
        <w:rPr>
          <w:rFonts w:ascii="Times New Roman" w:eastAsia="Calibri" w:hAnsi="Times New Roman" w:cs="Times New Roman" w:hint="cs"/>
          <w:sz w:val="24"/>
          <w:szCs w:val="24"/>
          <w:rtl/>
        </w:rPr>
        <w:t>(</w:t>
      </w:r>
      <w:r w:rsidRPr="00A537FF">
        <w:rPr>
          <w:rFonts w:ascii="Times New Roman" w:eastAsia="Calibri" w:hAnsi="Times New Roman" w:cs="Times New Roman"/>
          <w:sz w:val="24"/>
          <w:szCs w:val="24"/>
        </w:rPr>
        <w:t xml:space="preserve"> for 90 days, and G4: the experimental group which injected intraperitoneal with CCl</w:t>
      </w:r>
      <w:r w:rsidRPr="00A537FF">
        <w:rPr>
          <w:rFonts w:ascii="Times New Roman" w:eastAsia="Calibri" w:hAnsi="Times New Roman" w:cs="Times New Roman"/>
          <w:sz w:val="24"/>
          <w:szCs w:val="24"/>
          <w:vertAlign w:val="subscript"/>
        </w:rPr>
        <w:t>4</w:t>
      </w:r>
      <w:r w:rsidRPr="00A537FF">
        <w:rPr>
          <w:rFonts w:ascii="Times New Roman" w:eastAsia="Calibri" w:hAnsi="Times New Roman" w:cs="Times New Roman"/>
          <w:sz w:val="24"/>
          <w:szCs w:val="24"/>
        </w:rPr>
        <w:t xml:space="preserve"> (1 ml/kg b.w.) in the first two days of the experiment and received PMF orally (0.35 g /200 g</w:t>
      </w:r>
      <w:r w:rsidRPr="00A537FF">
        <w:rPr>
          <w:rFonts w:ascii="Times New Roman" w:eastAsia="Calibri" w:hAnsi="Times New Roman" w:cs="Times New Roman" w:hint="cs"/>
          <w:sz w:val="24"/>
          <w:szCs w:val="24"/>
          <w:rtl/>
        </w:rPr>
        <w:t>(</w:t>
      </w:r>
      <w:r w:rsidRPr="00A537FF">
        <w:rPr>
          <w:rFonts w:ascii="Times New Roman" w:eastAsia="Calibri" w:hAnsi="Times New Roman" w:cs="Times New Roman"/>
          <w:sz w:val="24"/>
          <w:szCs w:val="24"/>
        </w:rPr>
        <w:t xml:space="preserve"> for 90 days. Hepatotoxicity was induced by the intra-peritoneal injection of CCl</w:t>
      </w:r>
      <w:r w:rsidRPr="00A537FF">
        <w:rPr>
          <w:rFonts w:ascii="Times New Roman" w:eastAsia="Calibri" w:hAnsi="Times New Roman" w:cs="Times New Roman"/>
          <w:sz w:val="24"/>
          <w:szCs w:val="24"/>
          <w:vertAlign w:val="subscript"/>
        </w:rPr>
        <w:t>4</w:t>
      </w:r>
      <w:r w:rsidRPr="00A537FF">
        <w:rPr>
          <w:rFonts w:ascii="Times New Roman" w:eastAsia="Calibri" w:hAnsi="Times New Roman" w:cs="Times New Roman"/>
          <w:sz w:val="24"/>
          <w:szCs w:val="24"/>
        </w:rPr>
        <w:t xml:space="preserve"> 1:1 diluted with paraffin oil in the first two days of the experiment following the method of </w:t>
      </w:r>
      <w:r w:rsidRPr="00A537FF">
        <w:rPr>
          <w:rFonts w:ascii="Times New Roman" w:eastAsia="Calibri" w:hAnsi="Times New Roman" w:cs="Times New Roman"/>
          <w:b/>
          <w:bCs/>
          <w:color w:val="548DD4"/>
          <w:sz w:val="24"/>
          <w:szCs w:val="24"/>
        </w:rPr>
        <w:t>Khan and Alzohairy (2011)</w:t>
      </w:r>
      <w:r w:rsidRPr="00A537FF">
        <w:rPr>
          <w:rFonts w:ascii="Times New Roman" w:eastAsia="Calibri" w:hAnsi="Times New Roman" w:cs="Times New Roman"/>
          <w:sz w:val="24"/>
          <w:szCs w:val="24"/>
        </w:rPr>
        <w:t xml:space="preserve">. PMF was extracted and prepared according to the method of </w:t>
      </w:r>
      <w:r w:rsidRPr="00A537FF">
        <w:rPr>
          <w:rFonts w:ascii="Times New Roman" w:eastAsia="Calibri" w:hAnsi="Times New Roman" w:cs="Times New Roman"/>
          <w:b/>
          <w:bCs/>
          <w:color w:val="548DD4"/>
          <w:sz w:val="24"/>
          <w:szCs w:val="24"/>
        </w:rPr>
        <w:t>Khorshid et al. (2009)</w:t>
      </w:r>
      <w:r w:rsidRPr="00A537FF">
        <w:rPr>
          <w:rFonts w:ascii="Times New Roman" w:eastAsia="Calibri" w:hAnsi="Times New Roman" w:cs="Times New Roman"/>
          <w:sz w:val="24"/>
          <w:szCs w:val="24"/>
        </w:rPr>
        <w:t xml:space="preserve">. The animals (control and experimental animals) were sacrificed at the </w:t>
      </w:r>
      <w:r w:rsidRPr="00A537FF">
        <w:rPr>
          <w:rFonts w:ascii="Times New Roman" w:eastAsia="Calibri" w:hAnsi="Times New Roman" w:cs="Times New Roman"/>
          <w:noProof/>
          <w:sz w:val="24"/>
          <w:szCs w:val="24"/>
        </w:rPr>
        <w:t>end</w:t>
      </w:r>
      <w:r w:rsidRPr="00A537FF">
        <w:rPr>
          <w:rFonts w:ascii="Times New Roman" w:eastAsia="Calibri" w:hAnsi="Times New Roman" w:cs="Times New Roman"/>
          <w:sz w:val="24"/>
          <w:szCs w:val="24"/>
        </w:rPr>
        <w:t xml:space="preserve"> of the </w:t>
      </w:r>
      <w:r w:rsidRPr="00A537FF">
        <w:rPr>
          <w:rFonts w:ascii="Times New Roman" w:eastAsia="Calibri" w:hAnsi="Times New Roman" w:cs="Times New Roman"/>
          <w:noProof/>
          <w:sz w:val="24"/>
          <w:szCs w:val="24"/>
        </w:rPr>
        <w:t>experiment</w:t>
      </w:r>
      <w:r w:rsidRPr="00A537FF">
        <w:rPr>
          <w:rFonts w:ascii="Times New Roman" w:eastAsia="Calibri" w:hAnsi="Times New Roman" w:cs="Times New Roman"/>
          <w:sz w:val="24"/>
          <w:szCs w:val="24"/>
        </w:rPr>
        <w:t xml:space="preserve"> under light diethyl ether anesthesia at fasting state.  </w:t>
      </w:r>
    </w:p>
    <w:p w:rsidR="00A537FF" w:rsidRPr="00A537FF" w:rsidRDefault="00A537FF" w:rsidP="00A537FF">
      <w:pPr>
        <w:spacing w:line="240" w:lineRule="auto"/>
        <w:jc w:val="both"/>
        <w:rPr>
          <w:rFonts w:ascii="Times New Roman" w:eastAsia="Calibri" w:hAnsi="Times New Roman" w:cs="Times New Roman"/>
          <w:b/>
          <w:bCs/>
          <w:i/>
          <w:iCs/>
          <w:sz w:val="24"/>
          <w:szCs w:val="24"/>
        </w:rPr>
      </w:pPr>
      <w:r w:rsidRPr="00A537FF">
        <w:rPr>
          <w:rFonts w:ascii="Times New Roman" w:eastAsia="Calibri" w:hAnsi="Times New Roman" w:cs="Times New Roman"/>
          <w:b/>
          <w:bCs/>
          <w:i/>
          <w:iCs/>
          <w:sz w:val="24"/>
          <w:szCs w:val="24"/>
        </w:rPr>
        <w:t>2.8 Histopathology Examination</w:t>
      </w:r>
    </w:p>
    <w:p w:rsidR="00A537FF" w:rsidRPr="00A537FF" w:rsidRDefault="00A537FF" w:rsidP="00A537FF">
      <w:pPr>
        <w:spacing w:after="0"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sz w:val="24"/>
          <w:szCs w:val="24"/>
        </w:rPr>
        <w:t>Light microscopic examination:</w:t>
      </w:r>
      <w:r w:rsidRPr="00A537FF">
        <w:rPr>
          <w:rFonts w:ascii="Times New Roman" w:eastAsia="Calibri" w:hAnsi="Times New Roman" w:cs="Times New Roman"/>
          <w:sz w:val="24"/>
          <w:szCs w:val="24"/>
        </w:rPr>
        <w:t xml:space="preserve"> The liver was excised from the animals and washed with the normal saline. About one cm piece was cut and fixed in 10% neutral formalin for 12-24 hours. It was then dehydrated and cleared </w:t>
      </w:r>
      <w:r w:rsidRPr="00A537FF">
        <w:rPr>
          <w:rFonts w:ascii="Times New Roman" w:eastAsia="Calibri" w:hAnsi="Times New Roman" w:cs="Times New Roman"/>
          <w:noProof/>
          <w:sz w:val="24"/>
          <w:szCs w:val="24"/>
        </w:rPr>
        <w:t>in</w:t>
      </w:r>
      <w:r w:rsidRPr="00A537FF">
        <w:rPr>
          <w:rFonts w:ascii="Times New Roman" w:eastAsia="Calibri" w:hAnsi="Times New Roman" w:cs="Times New Roman"/>
          <w:sz w:val="24"/>
          <w:szCs w:val="24"/>
        </w:rPr>
        <w:t xml:space="preserve"> ethanol and xylene respectively followed by embedding in paraffin wax from which blocks were prepared. Sections of 5 μm thickness were prepared from the blocks using a microtome </w:t>
      </w:r>
      <w:r w:rsidRPr="00A537FF">
        <w:rPr>
          <w:rFonts w:ascii="Times New Roman" w:eastAsia="Calibri" w:hAnsi="Times New Roman" w:cs="Times New Roman"/>
          <w:b/>
          <w:bCs/>
          <w:color w:val="0070C0"/>
          <w:sz w:val="24"/>
          <w:szCs w:val="24"/>
        </w:rPr>
        <w:t>(Talib et al., 2007)</w:t>
      </w:r>
      <w:r w:rsidRPr="00A537FF">
        <w:rPr>
          <w:rFonts w:ascii="Times New Roman" w:eastAsia="Calibri" w:hAnsi="Times New Roman" w:cs="Times New Roman"/>
          <w:sz w:val="24"/>
          <w:szCs w:val="24"/>
        </w:rPr>
        <w:t xml:space="preserve">. These were processed in alcohol-xylene series and were stained with haematoxylin and eosin stain (H and E) </w:t>
      </w:r>
      <w:r w:rsidRPr="00A537FF">
        <w:rPr>
          <w:rFonts w:ascii="Times New Roman" w:eastAsia="Calibri" w:hAnsi="Times New Roman" w:cs="Times New Roman"/>
          <w:b/>
          <w:bCs/>
          <w:color w:val="0070C0"/>
          <w:sz w:val="24"/>
          <w:szCs w:val="24"/>
        </w:rPr>
        <w:t xml:space="preserve">(Clayden et al., 1971) </w:t>
      </w:r>
      <w:r w:rsidRPr="00A537FF">
        <w:rPr>
          <w:rFonts w:ascii="Times New Roman" w:eastAsia="Calibri" w:hAnsi="Times New Roman" w:cs="Times New Roman"/>
          <w:sz w:val="24"/>
          <w:szCs w:val="24"/>
        </w:rPr>
        <w:t>using standard techniques and subjected to histopathology examination.</w:t>
      </w:r>
    </w:p>
    <w:p w:rsidR="00A537FF" w:rsidRPr="00A537FF" w:rsidRDefault="00A537FF" w:rsidP="00A537FF">
      <w:pPr>
        <w:spacing w:line="240" w:lineRule="auto"/>
        <w:jc w:val="both"/>
        <w:rPr>
          <w:rFonts w:ascii="Times New Roman" w:eastAsia="Calibri" w:hAnsi="Times New Roman" w:cs="Times New Roman"/>
          <w:b/>
          <w:bCs/>
          <w:i/>
          <w:iCs/>
          <w:sz w:val="24"/>
          <w:szCs w:val="24"/>
        </w:rPr>
      </w:pPr>
      <w:r w:rsidRPr="00A537FF">
        <w:rPr>
          <w:rFonts w:ascii="Times New Roman" w:eastAsia="Calibri" w:hAnsi="Times New Roman" w:cs="Times New Roman"/>
          <w:b/>
          <w:bCs/>
          <w:i/>
          <w:iCs/>
          <w:sz w:val="24"/>
          <w:szCs w:val="24"/>
        </w:rPr>
        <w:t>2.9 Statistical analysis</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The data analysis was made using SPSS software for statistical analysis version 20. Data were represented as mean +/ - SD. Statistical significance between treated and untreated groups was determined using one way ANOVA (LSD test). Differences at </w:t>
      </w:r>
      <w:r w:rsidRPr="00A537FF">
        <w:rPr>
          <w:rFonts w:ascii="Times New Roman" w:eastAsia="Calibri" w:hAnsi="Times New Roman" w:cs="Times New Roman"/>
          <w:i/>
          <w:iCs/>
          <w:sz w:val="24"/>
          <w:szCs w:val="24"/>
        </w:rPr>
        <w:t>P</w:t>
      </w:r>
      <w:r w:rsidRPr="00A537FF">
        <w:rPr>
          <w:rFonts w:ascii="Times New Roman" w:eastAsia="Calibri" w:hAnsi="Times New Roman" w:cs="Times New Roman"/>
          <w:sz w:val="24"/>
          <w:szCs w:val="24"/>
        </w:rPr>
        <w:t xml:space="preserve"> values less than 0.05 were considered significant</w:t>
      </w:r>
    </w:p>
    <w:p w:rsidR="00A537FF" w:rsidRPr="00A537FF" w:rsidRDefault="00A537FF" w:rsidP="00A537FF">
      <w:pPr>
        <w:spacing w:line="240" w:lineRule="auto"/>
        <w:jc w:val="both"/>
        <w:rPr>
          <w:rFonts w:ascii="Times New Roman" w:eastAsia="Calibri" w:hAnsi="Times New Roman" w:cs="Times New Roman"/>
          <w:b/>
          <w:bCs/>
          <w:sz w:val="24"/>
          <w:szCs w:val="24"/>
        </w:rPr>
      </w:pPr>
      <w:r w:rsidRPr="00A537FF">
        <w:rPr>
          <w:rFonts w:ascii="Times New Roman" w:eastAsia="Calibri" w:hAnsi="Times New Roman" w:cs="Times New Roman"/>
          <w:b/>
          <w:bCs/>
          <w:sz w:val="24"/>
          <w:szCs w:val="24"/>
        </w:rPr>
        <w:t>3. Results</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The toxicity of PMF was dependent upon PMF concentration. It was clear that toxicity inducing concentration of PMF to Vero cells was significantly lower than that of hepatic cancer cell line toxicity (</w:t>
      </w:r>
      <w:r w:rsidRPr="00A537FF">
        <w:rPr>
          <w:rFonts w:ascii="Times New Roman" w:eastAsia="Calibri" w:hAnsi="Times New Roman" w:cs="Times New Roman"/>
          <w:i/>
          <w:iCs/>
          <w:sz w:val="24"/>
          <w:szCs w:val="24"/>
        </w:rPr>
        <w:t>P</w:t>
      </w:r>
      <w:r w:rsidRPr="00A537FF">
        <w:rPr>
          <w:rFonts w:ascii="Times New Roman" w:eastAsia="Calibri" w:hAnsi="Times New Roman" w:cs="Times New Roman"/>
          <w:sz w:val="24"/>
          <w:szCs w:val="24"/>
        </w:rPr>
        <w:t xml:space="preserve">&lt;0.05). Our data showed that the inhibitory concentration for 50% of treated cells [IC50] was 144 μg for Vero cells and 90 μg for HEPG-2 cell lines (Figures 1, 2 &amp; 3) using Masterplex Reader fit (2010) software. </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Virucidal activity of PMF was monitored based on an </w:t>
      </w:r>
      <w:r w:rsidRPr="00A537FF">
        <w:rPr>
          <w:rFonts w:ascii="Times New Roman" w:eastAsia="Calibri" w:hAnsi="Times New Roman" w:cs="Times New Roman"/>
          <w:noProof/>
          <w:sz w:val="24"/>
          <w:szCs w:val="24"/>
        </w:rPr>
        <w:t>evaluation</w:t>
      </w:r>
      <w:r w:rsidRPr="00A537FF">
        <w:rPr>
          <w:rFonts w:ascii="Times New Roman" w:eastAsia="Calibri" w:hAnsi="Times New Roman" w:cs="Times New Roman"/>
          <w:sz w:val="24"/>
          <w:szCs w:val="24"/>
        </w:rPr>
        <w:t xml:space="preserve"> of safe concentration that affects the virus epitopes relatively to time. Samples were collected at one hour interval but shortly after 2 hours the virus was completely inactivated. </w:t>
      </w:r>
      <w:r w:rsidRPr="00A537FF">
        <w:rPr>
          <w:rFonts w:ascii="Times New Roman" w:eastAsia="Calibri" w:hAnsi="Times New Roman" w:cs="Times New Roman"/>
          <w:noProof/>
          <w:sz w:val="24"/>
          <w:szCs w:val="24"/>
        </w:rPr>
        <w:t>The test</w:t>
      </w:r>
      <w:r w:rsidRPr="00A537FF">
        <w:rPr>
          <w:rFonts w:ascii="Times New Roman" w:eastAsia="Calibri" w:hAnsi="Times New Roman" w:cs="Times New Roman"/>
          <w:sz w:val="24"/>
          <w:szCs w:val="24"/>
        </w:rPr>
        <w:t xml:space="preserve"> was repeated and samples </w:t>
      </w:r>
      <w:r w:rsidRPr="00A537FF">
        <w:rPr>
          <w:rFonts w:ascii="Times New Roman" w:eastAsia="Calibri" w:hAnsi="Times New Roman" w:cs="Times New Roman"/>
          <w:sz w:val="24"/>
          <w:szCs w:val="24"/>
        </w:rPr>
        <w:lastRenderedPageBreak/>
        <w:t xml:space="preserve">were collected at 15 minutes intervals where the </w:t>
      </w:r>
      <w:r w:rsidRPr="00A537FF">
        <w:rPr>
          <w:rFonts w:ascii="Times New Roman" w:eastAsia="Calibri" w:hAnsi="Times New Roman" w:cs="Times New Roman"/>
          <w:noProof/>
          <w:sz w:val="24"/>
          <w:szCs w:val="24"/>
        </w:rPr>
        <w:t>virus</w:t>
      </w:r>
      <w:r w:rsidRPr="00A537FF">
        <w:rPr>
          <w:rFonts w:ascii="Times New Roman" w:eastAsia="Calibri" w:hAnsi="Times New Roman" w:cs="Times New Roman"/>
          <w:sz w:val="24"/>
          <w:szCs w:val="24"/>
        </w:rPr>
        <w:t xml:space="preserve"> was confirmed the prim test, after 2 hours the virus was completely inhibited and virus titer was significantly depleted compared to the control at the same thermal conditions (</w:t>
      </w:r>
      <w:r w:rsidRPr="00A537FF">
        <w:rPr>
          <w:rFonts w:ascii="Times New Roman" w:eastAsia="Calibri" w:hAnsi="Times New Roman" w:cs="Times New Roman"/>
          <w:i/>
          <w:iCs/>
          <w:sz w:val="24"/>
          <w:szCs w:val="24"/>
        </w:rPr>
        <w:t>P</w:t>
      </w:r>
      <w:r w:rsidRPr="00A537FF">
        <w:rPr>
          <w:rFonts w:ascii="Times New Roman" w:eastAsia="Calibri" w:hAnsi="Times New Roman" w:cs="Times New Roman"/>
          <w:sz w:val="24"/>
          <w:szCs w:val="24"/>
        </w:rPr>
        <w:t xml:space="preserve">&lt;0.05). The virus titer showed a somewhat stationary phase / plateau throughout the 15-60 minutes post treatment followed by obvious depletion of viral infectivity titer </w:t>
      </w:r>
      <w:r w:rsidRPr="00A537FF">
        <w:rPr>
          <w:rFonts w:ascii="Times New Roman" w:eastAsia="Calibri" w:hAnsi="Times New Roman" w:cs="Times New Roman"/>
          <w:noProof/>
          <w:sz w:val="24"/>
          <w:szCs w:val="24"/>
        </w:rPr>
        <w:t>in</w:t>
      </w:r>
      <w:r w:rsidRPr="00A537FF">
        <w:rPr>
          <w:rFonts w:ascii="Times New Roman" w:eastAsia="Calibri" w:hAnsi="Times New Roman" w:cs="Times New Roman"/>
          <w:sz w:val="24"/>
          <w:szCs w:val="24"/>
        </w:rPr>
        <w:t xml:space="preserve"> the 2</w:t>
      </w:r>
      <w:r w:rsidRPr="00A537FF">
        <w:rPr>
          <w:rFonts w:ascii="Times New Roman" w:eastAsia="Calibri" w:hAnsi="Times New Roman" w:cs="Times New Roman"/>
          <w:sz w:val="24"/>
          <w:szCs w:val="24"/>
          <w:vertAlign w:val="superscript"/>
        </w:rPr>
        <w:t>nd</w:t>
      </w:r>
      <w:r w:rsidRPr="00A537FF">
        <w:rPr>
          <w:rFonts w:ascii="Times New Roman" w:eastAsia="Calibri" w:hAnsi="Times New Roman" w:cs="Times New Roman"/>
          <w:sz w:val="24"/>
          <w:szCs w:val="24"/>
        </w:rPr>
        <w:t xml:space="preserve"> hour and no virus activity could be detected by 3 hours post treatment. The depletion rate of VSV relative 0</w:t>
      </w:r>
      <w:r w:rsidRPr="00A537FF">
        <w:rPr>
          <w:rFonts w:ascii="Times New Roman" w:eastAsia="Calibri" w:hAnsi="Times New Roman" w:cs="Times New Roman"/>
          <w:noProof/>
          <w:sz w:val="24"/>
          <w:szCs w:val="24"/>
        </w:rPr>
        <w:t>time</w:t>
      </w:r>
      <w:r w:rsidRPr="00A537FF">
        <w:rPr>
          <w:rFonts w:ascii="Times New Roman" w:eastAsia="Calibri" w:hAnsi="Times New Roman" w:cs="Times New Roman"/>
          <w:sz w:val="24"/>
          <w:szCs w:val="24"/>
        </w:rPr>
        <w:t>s was plotted (Figure 4).</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The histopathology examination of rats' livers indicated that under experimental conditions, PMF showed hepatic protective effects against CCl</w:t>
      </w:r>
      <w:r w:rsidRPr="00A537FF">
        <w:rPr>
          <w:rFonts w:ascii="Times New Roman" w:eastAsia="Calibri" w:hAnsi="Times New Roman" w:cs="Times New Roman"/>
          <w:sz w:val="24"/>
          <w:szCs w:val="24"/>
          <w:vertAlign w:val="subscript"/>
        </w:rPr>
        <w:t>4</w:t>
      </w:r>
      <w:r w:rsidRPr="00A537FF">
        <w:rPr>
          <w:rFonts w:ascii="Times New Roman" w:eastAsia="Calibri" w:hAnsi="Times New Roman" w:cs="Times New Roman"/>
          <w:sz w:val="24"/>
          <w:szCs w:val="24"/>
        </w:rPr>
        <w:t xml:space="preserve"> induced liver damage in rats. Where the liver of normal control rats (Figure 5A) appeared normal compared with the infected animals with CCl</w:t>
      </w:r>
      <w:r w:rsidRPr="00A537FF">
        <w:rPr>
          <w:rFonts w:ascii="Times New Roman" w:eastAsia="Calibri" w:hAnsi="Times New Roman" w:cs="Times New Roman"/>
          <w:sz w:val="24"/>
          <w:szCs w:val="24"/>
          <w:vertAlign w:val="subscript"/>
        </w:rPr>
        <w:t>4</w:t>
      </w:r>
      <w:r w:rsidRPr="00A537FF">
        <w:rPr>
          <w:rFonts w:ascii="Times New Roman" w:eastAsia="Calibri" w:hAnsi="Times New Roman" w:cs="Times New Roman"/>
          <w:sz w:val="24"/>
          <w:szCs w:val="24"/>
        </w:rPr>
        <w:t xml:space="preserve"> that treated with PMF for only 7 days (Figure 5B), which showed significant pathological changes and inflammation around central vein. However, the infected group which treated with PMF for </w:t>
      </w:r>
      <w:r w:rsidRPr="00A537FF">
        <w:rPr>
          <w:rFonts w:ascii="Times New Roman" w:eastAsia="Calibri" w:hAnsi="Times New Roman" w:cs="Times New Roman"/>
          <w:noProof/>
          <w:sz w:val="24"/>
          <w:szCs w:val="24"/>
        </w:rPr>
        <w:t>a long time</w:t>
      </w:r>
      <w:r w:rsidRPr="00A537FF">
        <w:rPr>
          <w:rFonts w:ascii="Times New Roman" w:eastAsia="Calibri" w:hAnsi="Times New Roman" w:cs="Times New Roman"/>
          <w:sz w:val="24"/>
          <w:szCs w:val="24"/>
        </w:rPr>
        <w:t xml:space="preserve">, 90 days (Figure 5D) showed light normal micrograph of rat liver compared to controls (Figure 5C). </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sz w:val="24"/>
          <w:szCs w:val="24"/>
        </w:rPr>
        <w:t>4. Discussion</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Cytotoxicity of natural products may be based on the effect of toxic materials on cell organelles including mitochondrial, nuclear and cellular membrane damage. This damage leads to breakage of cellular and mitochondrial membranes enhancing cell death and viral protein assembly ceasing in cases of viral infection. Cancer is a disease characterized by uncontrolled cellular proliferation and differentiation. Nearly all new cancer treatments have impacts on viruses; which would be advantageous. Data obtained from this study revealed that the toxicity of PMF was relative to PMF concentration.  It was clear that toxicity inducing concentration of PMF to Vero cells was significantly less than that of hepatic cancer cell line toxicity. </w:t>
      </w:r>
      <w:r w:rsidRPr="00A537FF">
        <w:rPr>
          <w:rFonts w:ascii="Times New Roman" w:eastAsia="Calibri" w:hAnsi="Times New Roman" w:cs="Times New Roman"/>
          <w:noProof/>
          <w:sz w:val="24"/>
          <w:szCs w:val="24"/>
        </w:rPr>
        <w:t>The cytotoxic</w:t>
      </w:r>
      <w:r w:rsidRPr="00A537FF">
        <w:rPr>
          <w:rFonts w:ascii="Times New Roman" w:eastAsia="Calibri" w:hAnsi="Times New Roman" w:cs="Times New Roman"/>
          <w:sz w:val="24"/>
          <w:szCs w:val="24"/>
        </w:rPr>
        <w:t xml:space="preserve"> effect may be attributed to HEPG-2 cells apoptotic enhancing activity under the effect of camel urine derived fraction, PMF that may enhance cell and mitochondrial membrane rupture. In our previous work </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&lt;EndNote&gt;&lt;Cite&gt;&lt;Author&gt;El-Shahawy A.  Elsawi NM. . Baker WS&lt;/Author&gt;&lt;Year&gt;2010&lt;/Year&gt;&lt;RecNum&gt;10&lt;/RecNum&gt;&lt;DisplayText&gt;(El-Shahawy A.  Elsawi NM. . Baker WS 2010)&lt;/DisplayText&gt;&lt;record&gt;&lt;rec-number&gt;10&lt;/rec-number&gt;&lt;foreign-keys&gt;&lt;key app="EN" db-id="d95ezr9wppad53edzs75rs2cwwpwa22fpfpd"&gt;10&lt;/key&gt;&lt;/foreign-keys&gt;&lt;ref-type name="Journal Article"&gt;17&lt;/ref-type&gt;&lt;contributors&gt;&lt;authors&gt;&lt;author&gt;El-Shahawy A.  Elsawi NM. . Baker WS,  Khorshid FK.   Geweely NS,&lt;/author&gt;&lt;/authors&gt;&lt;/contributors&gt;&lt;titles&gt;&lt;title&gt;Spectral analysis, molecular orbital calculations and antimicrobial activity of PMF-G fraction extracted from PM-701&lt;/title&gt;&lt;secondary-title&gt;Int. J. Pharma Biosci.&lt;/secondary-title&gt;&lt;/titles&gt;&lt;periodical&gt;&lt;full-title&gt;Int. J. Pharma Biosci.&lt;/full-title&gt;&lt;/periodical&gt;&lt;pages&gt;1-19&lt;/pages&gt;&lt;volume&gt;1&lt;/volume&gt;&lt;number&gt;1&lt;/number&gt;&lt;dates&gt;&lt;year&gt;2010&lt;/year&gt;&lt;/dates&gt;&lt;urls&gt;&lt;/urls&gt;&lt;/record&gt;&lt;/Cite&gt;&lt;/EndNote&gt;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6" w:tooltip="El-Shahawy A.  Elsawi NM. . Baker WS, 2010 #10" w:history="1">
        <w:r w:rsidRPr="00A537FF">
          <w:rPr>
            <w:rFonts w:ascii="Times New Roman" w:eastAsia="Calibri" w:hAnsi="Times New Roman" w:cs="Times New Roman"/>
            <w:b/>
            <w:bCs/>
            <w:noProof/>
            <w:color w:val="548DD4"/>
            <w:sz w:val="24"/>
            <w:szCs w:val="24"/>
          </w:rPr>
          <w:t>El-Shahawy et al., 2010</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 xml:space="preserve">, we recorded that lyophilized camel urine, which coded PM701, is a natural product that </w:t>
      </w:r>
      <w:r w:rsidRPr="00A537FF">
        <w:rPr>
          <w:rFonts w:ascii="Times New Roman" w:eastAsia="Calibri" w:hAnsi="Times New Roman" w:cs="Times New Roman"/>
          <w:noProof/>
          <w:sz w:val="24"/>
          <w:szCs w:val="24"/>
        </w:rPr>
        <w:t>hasanticancer,</w:t>
      </w:r>
      <w:r w:rsidRPr="00A537FF">
        <w:rPr>
          <w:rFonts w:ascii="Times New Roman" w:eastAsia="Calibri" w:hAnsi="Times New Roman" w:cs="Times New Roman"/>
          <w:sz w:val="24"/>
          <w:szCs w:val="24"/>
        </w:rPr>
        <w:t xml:space="preserve"> antimicrobial and antifungal effects.</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The PMF has been fractionated from a PM701 sample and this fractionated sample has </w:t>
      </w:r>
      <w:r w:rsidRPr="00A537FF">
        <w:rPr>
          <w:rFonts w:ascii="Times New Roman" w:eastAsia="Calibri" w:hAnsi="Times New Roman" w:cs="Times New Roman"/>
          <w:i/>
          <w:iCs/>
          <w:sz w:val="24"/>
          <w:szCs w:val="24"/>
        </w:rPr>
        <w:t xml:space="preserve">in vitro </w:t>
      </w:r>
      <w:r w:rsidRPr="00A537FF">
        <w:rPr>
          <w:rFonts w:ascii="Times New Roman" w:eastAsia="Calibri" w:hAnsi="Times New Roman" w:cs="Times New Roman"/>
          <w:sz w:val="24"/>
          <w:szCs w:val="24"/>
        </w:rPr>
        <w:t>anti-carcinogenic effect on lung cancer, hepatic cancer, glaial cancer, breast cancer, colon cancer and leukemic cells (</w:t>
      </w:r>
      <w:r w:rsidRPr="00A537FF">
        <w:rPr>
          <w:rFonts w:ascii="Times New Roman" w:eastAsia="Calibri" w:hAnsi="Times New Roman" w:cs="Times New Roman"/>
          <w:b/>
          <w:bCs/>
          <w:color w:val="548DD4"/>
          <w:sz w:val="24"/>
          <w:szCs w:val="24"/>
        </w:rPr>
        <w:t>Khorshid et al., 2011)</w:t>
      </w:r>
      <w:r w:rsidRPr="00A537FF">
        <w:rPr>
          <w:rFonts w:ascii="Times New Roman" w:eastAsia="Calibri" w:hAnsi="Times New Roman" w:cs="Times New Roman"/>
          <w:sz w:val="24"/>
          <w:szCs w:val="24"/>
        </w:rPr>
        <w:t xml:space="preserve">. These data coincided with </w:t>
      </w:r>
      <w:r w:rsidRPr="00A537FF">
        <w:rPr>
          <w:rFonts w:ascii="Times New Roman" w:eastAsia="Calibri" w:hAnsi="Times New Roman" w:cs="Times New Roman"/>
          <w:b/>
          <w:bCs/>
          <w:color w:val="548DD4"/>
          <w:sz w:val="24"/>
          <w:szCs w:val="24"/>
        </w:rPr>
        <w:t>Nujoud et al. (2011)</w:t>
      </w:r>
      <w:r w:rsidRPr="00A537FF">
        <w:rPr>
          <w:rFonts w:ascii="Times New Roman" w:eastAsia="Calibri" w:hAnsi="Times New Roman" w:cs="Times New Roman"/>
          <w:sz w:val="24"/>
          <w:szCs w:val="24"/>
        </w:rPr>
        <w:t xml:space="preserve"> despite the use of different cell lines and their attention to immune reactivity. They also recorded that camel urine showed cytotoxicity against various human cancer cell lines, with only marginal effects on non-tumorigenic epithelial and fibroblast cells</w:t>
      </w:r>
      <w:r w:rsidRPr="00A537FF">
        <w:rPr>
          <w:rFonts w:ascii="Times New Roman" w:eastAsia="Calibri" w:hAnsi="Times New Roman" w:cs="Times New Roman"/>
          <w:sz w:val="24"/>
          <w:szCs w:val="24"/>
          <w:rtl/>
        </w:rPr>
        <w:t>.</w:t>
      </w:r>
      <w:r w:rsidRPr="00A537FF">
        <w:rPr>
          <w:rFonts w:ascii="Times New Roman" w:eastAsia="Calibri" w:hAnsi="Times New Roman" w:cs="Times New Roman"/>
          <w:sz w:val="24"/>
          <w:szCs w:val="24"/>
        </w:rPr>
        <w:t xml:space="preserve"> Interestingly, 216 mg/ml of lyophilized camel urine (CU) inhibited cell proliferation and triggered more than 80% of apoptosis in different cancer cells, including breast carcinomas and medulloblastomas</w:t>
      </w:r>
      <w:r w:rsidRPr="00A537FF">
        <w:rPr>
          <w:rFonts w:ascii="Times New Roman" w:eastAsia="Calibri" w:hAnsi="Times New Roman" w:cs="Times New Roman"/>
          <w:b/>
          <w:bCs/>
          <w:color w:val="00B0F0"/>
          <w:sz w:val="24"/>
          <w:szCs w:val="24"/>
        </w:rPr>
        <w:t>(</w:t>
      </w:r>
      <w:r w:rsidRPr="00A537FF">
        <w:rPr>
          <w:rFonts w:ascii="Times New Roman" w:eastAsia="Calibri" w:hAnsi="Times New Roman" w:cs="Times New Roman"/>
          <w:b/>
          <w:bCs/>
          <w:color w:val="00B0F0"/>
          <w:sz w:val="24"/>
          <w:szCs w:val="24"/>
          <w:lang/>
        </w:rPr>
        <w:t>Nujoud et al., 2011)</w:t>
      </w:r>
      <w:r w:rsidRPr="00A537FF">
        <w:rPr>
          <w:rFonts w:ascii="Times New Roman" w:eastAsia="Calibri" w:hAnsi="Times New Roman" w:cs="Times New Roman"/>
          <w:sz w:val="24"/>
          <w:szCs w:val="24"/>
        </w:rPr>
        <w:t xml:space="preserve">. Apoptosis was induced in these cells through the intrinsic pathway via a decrease in Bcl-2. Furthermore, CU down-regulated the cancer-promoting proteins surviving, β-catenin and cyclin D1 and increased cyclin-dependent kinase inhibitor p21 level. In addition, </w:t>
      </w:r>
      <w:r w:rsidRPr="00A537FF">
        <w:rPr>
          <w:rFonts w:ascii="Times New Roman" w:eastAsia="Calibri" w:hAnsi="Times New Roman" w:cs="Times New Roman"/>
          <w:b/>
          <w:bCs/>
          <w:color w:val="00B0F0"/>
          <w:sz w:val="24"/>
          <w:szCs w:val="24"/>
          <w:lang/>
        </w:rPr>
        <w:t>Nujoud et al. (2011)</w:t>
      </w:r>
      <w:r w:rsidRPr="00A537FF">
        <w:rPr>
          <w:rFonts w:ascii="Times New Roman" w:eastAsia="Calibri" w:hAnsi="Times New Roman" w:cs="Times New Roman"/>
          <w:sz w:val="24"/>
          <w:szCs w:val="24"/>
        </w:rPr>
        <w:t xml:space="preserve"> had shown that CU has no cytotoxic effects against peripheral blood mononuclear cells and had strong immune-inducer activity by inducing interferon (IFN)-γ and inhibiting the Th2 cytokines interleukin (IL)-4, </w:t>
      </w:r>
      <w:r w:rsidRPr="00A537FF">
        <w:rPr>
          <w:rFonts w:ascii="Times New Roman" w:eastAsia="Calibri" w:hAnsi="Times New Roman" w:cs="Times New Roman"/>
          <w:noProof/>
          <w:sz w:val="24"/>
          <w:szCs w:val="24"/>
        </w:rPr>
        <w:t>IL-6</w:t>
      </w:r>
      <w:r w:rsidRPr="00A537FF">
        <w:rPr>
          <w:rFonts w:ascii="Times New Roman" w:eastAsia="Calibri" w:hAnsi="Times New Roman" w:cs="Times New Roman"/>
          <w:sz w:val="24"/>
          <w:szCs w:val="24"/>
        </w:rPr>
        <w:t xml:space="preserve">, and IL-10. The results obtained by this study were also consistent with </w:t>
      </w:r>
      <w:r w:rsidRPr="00A537FF">
        <w:rPr>
          <w:rFonts w:ascii="Times New Roman" w:eastAsia="Calibri" w:hAnsi="Times New Roman" w:cs="Times New Roman"/>
          <w:b/>
          <w:bCs/>
          <w:color w:val="548DD4"/>
          <w:sz w:val="24"/>
          <w:szCs w:val="24"/>
        </w:rPr>
        <w:t>Al-Harbi et al. (1996)</w:t>
      </w:r>
      <w:r w:rsidRPr="00A537FF">
        <w:rPr>
          <w:rFonts w:ascii="Times New Roman" w:eastAsia="Calibri" w:hAnsi="Times New Roman" w:cs="Times New Roman"/>
          <w:sz w:val="24"/>
          <w:szCs w:val="24"/>
        </w:rPr>
        <w:t xml:space="preserve"> who showed that CU treatment caused a </w:t>
      </w:r>
      <w:r w:rsidRPr="00A537FF">
        <w:rPr>
          <w:rFonts w:ascii="Times New Roman" w:eastAsia="Calibri" w:hAnsi="Times New Roman" w:cs="Times New Roman"/>
          <w:noProof/>
          <w:sz w:val="24"/>
          <w:szCs w:val="24"/>
        </w:rPr>
        <w:t>significant</w:t>
      </w:r>
      <w:r w:rsidRPr="00A537FF">
        <w:rPr>
          <w:rFonts w:ascii="Times New Roman" w:eastAsia="Calibri" w:hAnsi="Times New Roman" w:cs="Times New Roman"/>
          <w:sz w:val="24"/>
          <w:szCs w:val="24"/>
        </w:rPr>
        <w:t xml:space="preserve"> cytotoxic effect in the bone marrow cells of mice and that cytotoxicity appeared at higher doses comparable with cyclophosphamide (CP), standard drug. Meanwhile, unlike CP, the camel urine treatment failed </w:t>
      </w:r>
      <w:r w:rsidRPr="00A537FF">
        <w:rPr>
          <w:rFonts w:ascii="Times New Roman" w:eastAsia="Calibri" w:hAnsi="Times New Roman" w:cs="Times New Roman"/>
          <w:sz w:val="24"/>
          <w:szCs w:val="24"/>
        </w:rPr>
        <w:lastRenderedPageBreak/>
        <w:t xml:space="preserve">to induce any clastogenicity. Also, they reported that the cytotoxicity induced by camel urine treatment was substantiated by the reduction of liver nucleic acids and glutathione levels and increased malondialdehyde (MDA) contents in the same animals. CP treatment was found to have high clastogenic, cytotoxic and able to reduce the levels of nucleic acids, </w:t>
      </w:r>
      <w:r w:rsidRPr="00A537FF">
        <w:rPr>
          <w:rFonts w:ascii="Times New Roman" w:eastAsia="Calibri" w:hAnsi="Times New Roman" w:cs="Times New Roman"/>
          <w:noProof/>
          <w:sz w:val="24"/>
          <w:szCs w:val="24"/>
        </w:rPr>
        <w:t>proteins</w:t>
      </w:r>
      <w:r w:rsidRPr="00A537FF">
        <w:rPr>
          <w:rFonts w:ascii="Times New Roman" w:eastAsia="Calibri" w:hAnsi="Times New Roman" w:cs="Times New Roman"/>
          <w:sz w:val="24"/>
          <w:szCs w:val="24"/>
        </w:rPr>
        <w:t xml:space="preserve">, and glutathione and increased MDA concentration due to its pro-oxidant activity. </w:t>
      </w:r>
      <w:r w:rsidRPr="00A537FF">
        <w:rPr>
          <w:rFonts w:ascii="Times New Roman" w:eastAsia="Calibri" w:hAnsi="Times New Roman" w:cs="Times New Roman"/>
          <w:b/>
          <w:bCs/>
          <w:color w:val="548DD4"/>
          <w:sz w:val="24"/>
          <w:szCs w:val="24"/>
        </w:rPr>
        <w:t>Al-Harbi et al. (1996)</w:t>
      </w:r>
      <w:r w:rsidRPr="00A537FF">
        <w:rPr>
          <w:rFonts w:ascii="Times New Roman" w:eastAsia="Calibri" w:hAnsi="Times New Roman" w:cs="Times New Roman"/>
          <w:sz w:val="24"/>
          <w:szCs w:val="24"/>
        </w:rPr>
        <w:t xml:space="preserve"> claimed the non-clastogenic nature of camel urine to the anti-oxidant and anti-mutagenic compounds present in it. They stated that the pre-treatment with camel urine increased the cytotoxicity of CP and intensified CP induced reduction of liver nucleic acids, and glutathione and increased MDA concentration. The increase of CP induced cytotoxicity appeared to be partly due to the additive effect of the two treatments on cellular lipid peroxidation</w:t>
      </w:r>
      <w:r w:rsidRPr="00A537FF">
        <w:rPr>
          <w:rFonts w:ascii="Times New Roman" w:eastAsia="Calibri" w:hAnsi="Times New Roman" w:cs="Times New Roman"/>
          <w:sz w:val="24"/>
          <w:szCs w:val="24"/>
          <w:rtl/>
        </w:rPr>
        <w:t>.</w:t>
      </w:r>
      <w:r w:rsidRPr="00A537FF">
        <w:rPr>
          <w:rFonts w:ascii="Times New Roman" w:eastAsia="Calibri" w:hAnsi="Times New Roman" w:cs="Times New Roman"/>
          <w:sz w:val="24"/>
          <w:szCs w:val="24"/>
        </w:rPr>
        <w:t xml:space="preserve"> All these studies may also </w:t>
      </w:r>
      <w:r w:rsidRPr="00A537FF">
        <w:rPr>
          <w:rFonts w:ascii="Times New Roman" w:eastAsia="Calibri" w:hAnsi="Times New Roman" w:cs="Times New Roman"/>
          <w:noProof/>
          <w:sz w:val="24"/>
          <w:szCs w:val="24"/>
        </w:rPr>
        <w:t>applyto</w:t>
      </w:r>
      <w:r w:rsidRPr="00A537FF">
        <w:rPr>
          <w:rFonts w:ascii="Times New Roman" w:eastAsia="Calibri" w:hAnsi="Times New Roman" w:cs="Times New Roman"/>
          <w:sz w:val="24"/>
          <w:szCs w:val="24"/>
        </w:rPr>
        <w:t xml:space="preserve"> our work here as antivirus activity of camel urine fraction, PMF.</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Urine constituents  showed a variable reactivity to cancer cell lines / apoptotic activity relative to age and sex of camels </w:t>
      </w:r>
      <w:r w:rsidR="004053EA" w:rsidRPr="00A537FF">
        <w:rPr>
          <w:rFonts w:ascii="Times New Roman" w:eastAsia="Calibri" w:hAnsi="Times New Roman" w:cs="Times New Roman"/>
          <w:b/>
          <w:bCs/>
          <w:color w:val="548DD4"/>
          <w:sz w:val="24"/>
          <w:szCs w:val="24"/>
        </w:rPr>
        <w:fldChar w:fldCharType="begin"/>
      </w:r>
      <w:r w:rsidRPr="00A537FF">
        <w:rPr>
          <w:rFonts w:ascii="Times New Roman" w:eastAsia="Calibri" w:hAnsi="Times New Roman" w:cs="Times New Roman"/>
          <w:b/>
          <w:bCs/>
          <w:color w:val="548DD4"/>
          <w:sz w:val="24"/>
          <w:szCs w:val="24"/>
        </w:rPr>
        <w:instrText xml:space="preserve"> ADDIN EN.CITE &lt;EndNote&gt;&lt;Cite&gt;&lt;Author&gt;Alghamdi Z. Khorshid FK&lt;/Author&gt;&lt;Year&gt;2012&lt;/Year&gt;&lt;RecNum&gt;26&lt;/RecNum&gt;&lt;DisplayText&gt;(Alghamdi Z. Khorshid FK 2012)&lt;/DisplayText&gt;&lt;record&gt;&lt;rec-number&gt;26&lt;/rec-number&gt;&lt;foreign-keys&gt;&lt;key app="EN" db-id="d95ezr9wppad53edzs75rs2cwwpwa22fpfpd"&gt;26&lt;/key&gt;&lt;/foreign-keys&gt;&lt;ref-type name="Journal Article"&gt;17&lt;/ref-type&gt;&lt;contributors&gt;&lt;authors&gt;&lt;author&gt; Alghamdi Z. Khorshid FK,&lt;/author&gt;&lt;/authors&gt;&lt;/contributors&gt;&lt;titles&gt;&lt;title&gt;Cytotoxicity of the Urine of Different Camel Breeds on the Proliferation of Lung Cancer Cells, A549 &lt;/title&gt;&lt;secondary-title&gt;Journal of Natural Sciences Research &lt;/secondary-title&gt;&lt;/titles&gt;&lt;periodical&gt;&lt;full-title&gt;Journal of Natural Sciences Research&lt;/full-title&gt;&lt;/periodical&gt;&lt;volume&gt;2&lt;/volume&gt;&lt;number&gt;5&lt;/number&gt;&lt;dates&gt;&lt;year&gt;2012&lt;/year&gt;&lt;/dates&gt;&lt;urls&gt;&lt;/urls&gt;&lt;/record&gt;&lt;/Cite&gt;&lt;/EndNote&gt;</w:instrText>
      </w:r>
      <w:r w:rsidR="004053EA" w:rsidRPr="00A537FF">
        <w:rPr>
          <w:rFonts w:ascii="Times New Roman" w:eastAsia="Calibri" w:hAnsi="Times New Roman" w:cs="Times New Roman"/>
          <w:b/>
          <w:bCs/>
          <w:color w:val="548DD4"/>
          <w:sz w:val="24"/>
          <w:szCs w:val="24"/>
        </w:rPr>
        <w:fldChar w:fldCharType="separate"/>
      </w:r>
      <w:r w:rsidRPr="00A537FF">
        <w:rPr>
          <w:rFonts w:ascii="Times New Roman" w:eastAsia="Calibri" w:hAnsi="Times New Roman" w:cs="Times New Roman"/>
          <w:b/>
          <w:bCs/>
          <w:noProof/>
          <w:color w:val="548DD4"/>
          <w:sz w:val="24"/>
          <w:szCs w:val="24"/>
        </w:rPr>
        <w:t>(</w:t>
      </w:r>
      <w:hyperlink w:anchor="_ENREF_2" w:tooltip="Alghamdi Z. Khorshid FK, 2012 #26" w:history="1">
        <w:r w:rsidRPr="00A537FF">
          <w:rPr>
            <w:rFonts w:ascii="Times New Roman" w:eastAsia="Calibri" w:hAnsi="Times New Roman" w:cs="Times New Roman"/>
            <w:b/>
            <w:bCs/>
            <w:noProof/>
            <w:color w:val="548DD4"/>
            <w:sz w:val="24"/>
            <w:szCs w:val="24"/>
          </w:rPr>
          <w:t>Alghamdi and Khorshid, 2012</w:t>
        </w:r>
      </w:hyperlink>
      <w:r w:rsidRPr="00A537FF">
        <w:rPr>
          <w:rFonts w:ascii="Times New Roman" w:eastAsia="Calibri" w:hAnsi="Times New Roman" w:cs="Times New Roman"/>
          <w:b/>
          <w:bCs/>
          <w:noProof/>
          <w:color w:val="548DD4"/>
          <w:sz w:val="24"/>
          <w:szCs w:val="24"/>
        </w:rPr>
        <w:t>)</w:t>
      </w:r>
      <w:r w:rsidR="004053EA" w:rsidRPr="00A537FF">
        <w:rPr>
          <w:rFonts w:ascii="Times New Roman" w:eastAsia="Calibri" w:hAnsi="Times New Roman" w:cs="Times New Roman"/>
          <w:b/>
          <w:bCs/>
          <w:color w:val="548DD4"/>
          <w:sz w:val="24"/>
          <w:szCs w:val="24"/>
        </w:rPr>
        <w:fldChar w:fldCharType="end"/>
      </w:r>
      <w:r w:rsidRPr="00A537FF">
        <w:rPr>
          <w:rFonts w:ascii="Times New Roman" w:eastAsia="Calibri" w:hAnsi="Times New Roman" w:cs="Times New Roman"/>
          <w:sz w:val="24"/>
          <w:szCs w:val="24"/>
        </w:rPr>
        <w:t xml:space="preserve">. At the same </w:t>
      </w:r>
      <w:r w:rsidRPr="00A537FF">
        <w:rPr>
          <w:rFonts w:ascii="Times New Roman" w:eastAsia="Calibri" w:hAnsi="Times New Roman" w:cs="Times New Roman"/>
          <w:noProof/>
          <w:sz w:val="24"/>
          <w:szCs w:val="24"/>
        </w:rPr>
        <w:t>time</w:t>
      </w:r>
      <w:r w:rsidRPr="00A537FF">
        <w:rPr>
          <w:rFonts w:ascii="Times New Roman" w:eastAsia="Calibri" w:hAnsi="Times New Roman" w:cs="Times New Roman"/>
          <w:sz w:val="24"/>
          <w:szCs w:val="24"/>
        </w:rPr>
        <w:t xml:space="preserve">, </w:t>
      </w:r>
      <w:r w:rsidRPr="00A537FF">
        <w:rPr>
          <w:rFonts w:ascii="Times New Roman" w:eastAsia="Calibri" w:hAnsi="Times New Roman" w:cs="Times New Roman"/>
          <w:b/>
          <w:bCs/>
          <w:color w:val="548DD4"/>
          <w:sz w:val="24"/>
          <w:szCs w:val="24"/>
        </w:rPr>
        <w:t>Alhaider et al. (2012)</w:t>
      </w:r>
      <w:r w:rsidRPr="00A537FF">
        <w:rPr>
          <w:rFonts w:ascii="Times New Roman" w:eastAsia="Calibri" w:hAnsi="Times New Roman" w:cs="Times New Roman"/>
          <w:sz w:val="24"/>
          <w:szCs w:val="24"/>
        </w:rPr>
        <w:t xml:space="preserve"> recorded that all types of camel urine differentially inhibited the induction of Cyp1a1 gene expression by TCDD, the most potent Cyp1a1 inducer known as a carcinogenic chemical. They found that virgin camel urine showed the highest degree of inhibition at the activity level, followed by lactating and pregnant camel urines. Furthermore, they have shown that virgin camel urine significantly inhibited TCDD-mediated induction of Cyp1a1 at mRNA and protein expression levels</w:t>
      </w:r>
      <w:r w:rsidRPr="00A537FF">
        <w:rPr>
          <w:rFonts w:ascii="Times New Roman" w:eastAsia="Calibri" w:hAnsi="Times New Roman" w:cs="Times New Roman"/>
          <w:sz w:val="24"/>
          <w:szCs w:val="24"/>
          <w:rtl/>
        </w:rPr>
        <w:t>.</w:t>
      </w:r>
      <w:r w:rsidRPr="00A537FF">
        <w:rPr>
          <w:rFonts w:ascii="Times New Roman" w:eastAsia="Calibri" w:hAnsi="Times New Roman" w:cs="Times New Roman"/>
          <w:sz w:val="24"/>
          <w:szCs w:val="24"/>
        </w:rPr>
        <w:t xml:space="preserve"> The ability of virgin camel urine to inhibit Cyp1a1 was strongly correlated with its ability to inhibit AhR-dependent luciferase activity and DNA binding as determined by EMSA, suggesting that AhR-dependent mechanism is involved. </w:t>
      </w:r>
      <w:r w:rsidRPr="00A537FF">
        <w:rPr>
          <w:rFonts w:ascii="Times New Roman" w:eastAsia="Calibri" w:hAnsi="Times New Roman" w:cs="Times New Roman"/>
          <w:b/>
          <w:bCs/>
          <w:color w:val="548DD4"/>
          <w:sz w:val="24"/>
          <w:szCs w:val="24"/>
        </w:rPr>
        <w:t xml:space="preserve">Alhaider et al. (2012) </w:t>
      </w:r>
      <w:r w:rsidRPr="00A537FF">
        <w:rPr>
          <w:rFonts w:ascii="Times New Roman" w:eastAsia="Calibri" w:hAnsi="Times New Roman" w:cs="Times New Roman"/>
          <w:sz w:val="24"/>
          <w:szCs w:val="24"/>
        </w:rPr>
        <w:t xml:space="preserve">study provided the first evidence that camel urine inhibited the TCDD-mediated toxic effect by inhibiting the expression of Cyp1a1, at both transcriptional and post-transcriptional levels through an AhR-dependent mechanism. This agrees with our data that camel urine proved its anticancer activity based on its toxic effect on human hepatoma cell line and on VSV. Safe concentrations of PMF on VSV could not be proven where virus infectivity titer showed no change 24 hours after on pretreated cells infection compared to virus control infectivity titer. </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Our results revealed that VSV showed a significant depletion rate in virus infectivity titer 15 minutes post-treatment with </w:t>
      </w:r>
      <w:r w:rsidRPr="00A537FF">
        <w:rPr>
          <w:rFonts w:ascii="Times New Roman" w:eastAsia="Calibri" w:hAnsi="Times New Roman" w:cs="Times New Roman"/>
          <w:noProof/>
          <w:sz w:val="24"/>
          <w:szCs w:val="24"/>
        </w:rPr>
        <w:t>PMF</w:t>
      </w:r>
      <w:r w:rsidRPr="00A537FF">
        <w:rPr>
          <w:rFonts w:ascii="Times New Roman" w:eastAsia="Calibri" w:hAnsi="Times New Roman" w:cs="Times New Roman"/>
          <w:sz w:val="24"/>
          <w:szCs w:val="24"/>
        </w:rPr>
        <w:t xml:space="preserve"> while an almost stationary phase was detected through 30 - 45 minutes mark followed by a sharp declining phase of virus infectivity titer. VSV could not be detected at 75 minutes post-treatment recording depletion rate of VSV in the order of 0.49 log10/ 15 minutes. Finally, 75 minutes post-treatment, the virus could not be detected compared to the control. Antiviral activity may be attributed to the lysozyme enzyme found in urine that enhances its antimicrobial activity in general and it may work on the viral epitopes denaturation preventing the adhesion potential of the </w:t>
      </w:r>
      <w:r w:rsidRPr="00A537FF">
        <w:rPr>
          <w:rFonts w:ascii="Times New Roman" w:eastAsia="Calibri" w:hAnsi="Times New Roman" w:cs="Times New Roman"/>
          <w:noProof/>
          <w:sz w:val="24"/>
          <w:szCs w:val="24"/>
        </w:rPr>
        <w:t>virus</w:t>
      </w:r>
      <w:r w:rsidRPr="00A537FF">
        <w:rPr>
          <w:rFonts w:ascii="Times New Roman" w:eastAsia="Calibri" w:hAnsi="Times New Roman" w:cs="Times New Roman"/>
          <w:sz w:val="24"/>
          <w:szCs w:val="24"/>
        </w:rPr>
        <w:t xml:space="preserve"> to cell receptors. Our data were in agreement with </w:t>
      </w:r>
      <w:r w:rsidRPr="00A537FF">
        <w:rPr>
          <w:rFonts w:ascii="Times New Roman" w:eastAsia="Calibri" w:hAnsi="Times New Roman" w:cs="Times New Roman"/>
          <w:b/>
          <w:bCs/>
          <w:color w:val="548DD4"/>
          <w:sz w:val="24"/>
          <w:szCs w:val="24"/>
        </w:rPr>
        <w:t>El-Shahawy et al. (2010)</w:t>
      </w:r>
      <w:r w:rsidRPr="00A537FF">
        <w:rPr>
          <w:rFonts w:ascii="Times New Roman" w:eastAsia="Calibri" w:hAnsi="Times New Roman" w:cs="Times New Roman"/>
          <w:sz w:val="24"/>
          <w:szCs w:val="24"/>
        </w:rPr>
        <w:t xml:space="preserve"> results who reported that the PMF has an </w:t>
      </w:r>
      <w:r w:rsidRPr="00A537FF">
        <w:rPr>
          <w:rFonts w:ascii="Times New Roman" w:eastAsia="Calibri" w:hAnsi="Times New Roman" w:cs="Times New Roman"/>
          <w:noProof/>
          <w:sz w:val="24"/>
          <w:szCs w:val="24"/>
        </w:rPr>
        <w:t>antimicrobial</w:t>
      </w:r>
      <w:r w:rsidRPr="00A537FF">
        <w:rPr>
          <w:rFonts w:ascii="Times New Roman" w:eastAsia="Calibri" w:hAnsi="Times New Roman" w:cs="Times New Roman"/>
          <w:sz w:val="24"/>
          <w:szCs w:val="24"/>
        </w:rPr>
        <w:t xml:space="preserve">activity which in the </w:t>
      </w:r>
      <w:r w:rsidRPr="00A537FF">
        <w:rPr>
          <w:rFonts w:ascii="Times New Roman" w:eastAsia="Calibri" w:hAnsi="Times New Roman" w:cs="Times New Roman"/>
          <w:noProof/>
          <w:sz w:val="24"/>
          <w:szCs w:val="24"/>
        </w:rPr>
        <w:t>present</w:t>
      </w:r>
      <w:r w:rsidRPr="00A537FF">
        <w:rPr>
          <w:rFonts w:ascii="Times New Roman" w:eastAsia="Calibri" w:hAnsi="Times New Roman" w:cs="Times New Roman"/>
          <w:sz w:val="24"/>
          <w:szCs w:val="24"/>
        </w:rPr>
        <w:t xml:space="preserve"> study showed significantly inhibit VSV virus infectivity titer at 60 minutes. PMF may affect viral epitopes integration due to its chemical structure which affects virus replication enzymes</w:t>
      </w:r>
      <w:r w:rsidRPr="00A537FF">
        <w:rPr>
          <w:rFonts w:ascii="Times New Roman" w:eastAsia="Calibri" w:hAnsi="Times New Roman" w:cs="Times New Roman"/>
          <w:sz w:val="24"/>
          <w:szCs w:val="24"/>
          <w:rtl/>
        </w:rPr>
        <w:t xml:space="preserve">. </w:t>
      </w:r>
    </w:p>
    <w:p w:rsidR="00A537FF" w:rsidRPr="00A537FF" w:rsidRDefault="00A537FF" w:rsidP="00A537FF">
      <w:pPr>
        <w:spacing w:line="240" w:lineRule="auto"/>
        <w:jc w:val="both"/>
        <w:rPr>
          <w:rFonts w:ascii="Times New Roman" w:eastAsia="Calibri" w:hAnsi="Times New Roman" w:cs="Times New Roman"/>
          <w:b/>
          <w:bCs/>
          <w:color w:val="548DD4"/>
          <w:sz w:val="24"/>
          <w:szCs w:val="24"/>
        </w:rPr>
      </w:pPr>
      <w:r w:rsidRPr="00A537FF">
        <w:rPr>
          <w:rFonts w:ascii="Times New Roman" w:eastAsia="Calibri" w:hAnsi="Times New Roman" w:cs="Times New Roman"/>
          <w:sz w:val="24"/>
          <w:szCs w:val="24"/>
        </w:rPr>
        <w:t>The histopathology examination of rats' liver indicated that under present experimental conditions, PMF had hepatic protective effects against CCl</w:t>
      </w:r>
      <w:r w:rsidRPr="00A537FF">
        <w:rPr>
          <w:rFonts w:ascii="Times New Roman" w:eastAsia="Calibri" w:hAnsi="Times New Roman" w:cs="Times New Roman"/>
          <w:sz w:val="24"/>
          <w:szCs w:val="24"/>
          <w:vertAlign w:val="subscript"/>
        </w:rPr>
        <w:t>4</w:t>
      </w:r>
      <w:r w:rsidRPr="00A537FF">
        <w:rPr>
          <w:rFonts w:ascii="Times New Roman" w:eastAsia="Calibri" w:hAnsi="Times New Roman" w:cs="Times New Roman"/>
          <w:sz w:val="24"/>
          <w:szCs w:val="24"/>
        </w:rPr>
        <w:t xml:space="preserve"> induced liver damage in rats. The infected group which treated with PMF for 90 days showed almost normal micrograph of rats' liver compared to controls. </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lastRenderedPageBreak/>
        <w:t xml:space="preserve">At last, the promising fast antiviral activity must be enhanced using a wide range of virus models with DNA, </w:t>
      </w:r>
      <w:r w:rsidRPr="00A537FF">
        <w:rPr>
          <w:rFonts w:ascii="Times New Roman" w:eastAsia="Calibri" w:hAnsi="Times New Roman" w:cs="Times New Roman"/>
          <w:noProof/>
          <w:sz w:val="24"/>
          <w:szCs w:val="24"/>
        </w:rPr>
        <w:t>RNA</w:t>
      </w:r>
      <w:r w:rsidRPr="00A537FF">
        <w:rPr>
          <w:rFonts w:ascii="Times New Roman" w:eastAsia="Calibri" w:hAnsi="Times New Roman" w:cs="Times New Roman"/>
          <w:sz w:val="24"/>
          <w:szCs w:val="24"/>
        </w:rPr>
        <w:t>, and cancer inducing viruses. We need to trace the antiviral activity expressed by gene profiles namely MX and 2, 5 olygoadenylate</w:t>
      </w:r>
      <w:r w:rsidRPr="00A537FF">
        <w:rPr>
          <w:rFonts w:ascii="Times New Roman" w:eastAsia="Calibri" w:hAnsi="Times New Roman" w:cs="Times New Roman"/>
          <w:noProof/>
          <w:sz w:val="24"/>
          <w:szCs w:val="24"/>
        </w:rPr>
        <w:t>synthetase</w:t>
      </w:r>
      <w:r w:rsidRPr="00A537FF">
        <w:rPr>
          <w:rFonts w:ascii="Times New Roman" w:eastAsia="Calibri" w:hAnsi="Times New Roman" w:cs="Times New Roman"/>
          <w:sz w:val="24"/>
          <w:szCs w:val="24"/>
        </w:rPr>
        <w:t xml:space="preserve">, as marker genes for antiviral activity, </w:t>
      </w:r>
      <w:r w:rsidRPr="00A537FF">
        <w:rPr>
          <w:rFonts w:ascii="Times New Roman" w:eastAsia="Calibri" w:hAnsi="Times New Roman" w:cs="Times New Roman"/>
          <w:i/>
          <w:iCs/>
          <w:sz w:val="24"/>
          <w:szCs w:val="24"/>
        </w:rPr>
        <w:t>In-vitro</w:t>
      </w:r>
      <w:r w:rsidRPr="00A537FF">
        <w:rPr>
          <w:rFonts w:ascii="Times New Roman" w:eastAsia="Calibri" w:hAnsi="Times New Roman" w:cs="Times New Roman"/>
          <w:sz w:val="24"/>
          <w:szCs w:val="24"/>
        </w:rPr>
        <w:t xml:space="preserve"> and </w:t>
      </w:r>
      <w:r w:rsidRPr="00A537FF">
        <w:rPr>
          <w:rFonts w:ascii="Times New Roman" w:eastAsia="Calibri" w:hAnsi="Times New Roman" w:cs="Times New Roman"/>
          <w:i/>
          <w:iCs/>
          <w:sz w:val="24"/>
          <w:szCs w:val="24"/>
        </w:rPr>
        <w:t>in-vivo</w:t>
      </w:r>
      <w:r w:rsidRPr="00A537FF">
        <w:rPr>
          <w:rFonts w:ascii="Times New Roman" w:eastAsia="Calibri" w:hAnsi="Times New Roman" w:cs="Times New Roman"/>
          <w:sz w:val="24"/>
          <w:szCs w:val="24"/>
        </w:rPr>
        <w:t xml:space="preserve"> studies for intensified evaluation of PMF must be done.</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sz w:val="24"/>
          <w:szCs w:val="24"/>
        </w:rPr>
        <w:t>5. Conclusion</w:t>
      </w:r>
    </w:p>
    <w:p w:rsidR="00A537FF" w:rsidRP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sz w:val="24"/>
          <w:szCs w:val="24"/>
        </w:rPr>
        <w:t xml:space="preserve">PMF is a promising bio product from camel urine that has anticancer and antiviral potentials. Moreover, our </w:t>
      </w:r>
      <w:r w:rsidRPr="00A537FF">
        <w:rPr>
          <w:rFonts w:ascii="Times New Roman" w:eastAsia="Calibri" w:hAnsi="Times New Roman" w:cs="Times New Roman"/>
          <w:i/>
          <w:iCs/>
          <w:sz w:val="24"/>
          <w:szCs w:val="24"/>
        </w:rPr>
        <w:t>in vivo</w:t>
      </w:r>
      <w:r w:rsidRPr="00A537FF">
        <w:rPr>
          <w:rFonts w:ascii="Times New Roman" w:eastAsia="Calibri" w:hAnsi="Times New Roman" w:cs="Times New Roman"/>
          <w:sz w:val="24"/>
          <w:szCs w:val="24"/>
        </w:rPr>
        <w:t xml:space="preserve"> study results revealed hepato-protective effects of PMF of rats' liver treated with carbon tetrachloride as a </w:t>
      </w:r>
      <w:r w:rsidRPr="00A537FF">
        <w:rPr>
          <w:rFonts w:ascii="Times New Roman" w:eastAsia="Calibri" w:hAnsi="Times New Roman" w:cs="Times New Roman"/>
          <w:noProof/>
          <w:sz w:val="24"/>
          <w:szCs w:val="24"/>
        </w:rPr>
        <w:t>model</w:t>
      </w:r>
      <w:r w:rsidRPr="00A537FF">
        <w:rPr>
          <w:rFonts w:ascii="Times New Roman" w:eastAsia="Calibri" w:hAnsi="Times New Roman" w:cs="Times New Roman"/>
          <w:sz w:val="24"/>
          <w:szCs w:val="24"/>
        </w:rPr>
        <w:t xml:space="preserve"> of hepatotoxicity which increased the demand for further investigations and more studies concerning gene expression profile to prove the anti apoptotic activity of PMF to explain the mechanism of its anti-cancer action. </w:t>
      </w:r>
    </w:p>
    <w:p w:rsidR="00A537FF" w:rsidRDefault="00A537FF" w:rsidP="00A537FF">
      <w:pPr>
        <w:autoSpaceDE w:val="0"/>
        <w:autoSpaceDN w:val="0"/>
        <w:adjustRightInd w:val="0"/>
        <w:spacing w:line="240" w:lineRule="auto"/>
        <w:ind w:right="-334"/>
        <w:contextualSpacing/>
        <w:jc w:val="lowKashida"/>
        <w:rPr>
          <w:rFonts w:ascii="Times New Roman" w:eastAsia="Calibri" w:hAnsi="Times New Roman" w:cs="Times New Roman"/>
          <w:b/>
          <w:bCs/>
          <w:color w:val="0D0D0D"/>
          <w:sz w:val="24"/>
          <w:szCs w:val="24"/>
        </w:rPr>
      </w:pPr>
      <w:r w:rsidRPr="00A537FF">
        <w:rPr>
          <w:rFonts w:ascii="Times New Roman" w:eastAsia="Calibri" w:hAnsi="Times New Roman" w:cs="Times New Roman"/>
          <w:b/>
          <w:bCs/>
          <w:color w:val="0D0D0D"/>
          <w:sz w:val="24"/>
          <w:szCs w:val="24"/>
        </w:rPr>
        <w:t>Acknowledgments.</w:t>
      </w:r>
    </w:p>
    <w:p w:rsidR="00F10C29" w:rsidRPr="00A537FF" w:rsidRDefault="00F10C29" w:rsidP="00A537FF">
      <w:pPr>
        <w:autoSpaceDE w:val="0"/>
        <w:autoSpaceDN w:val="0"/>
        <w:adjustRightInd w:val="0"/>
        <w:spacing w:line="240" w:lineRule="auto"/>
        <w:ind w:right="-334"/>
        <w:contextualSpacing/>
        <w:jc w:val="lowKashida"/>
        <w:rPr>
          <w:rFonts w:ascii="Times New Roman" w:eastAsia="Calibri" w:hAnsi="Times New Roman" w:cs="Times New Roman"/>
          <w:color w:val="0D0D0D"/>
          <w:sz w:val="24"/>
          <w:szCs w:val="24"/>
        </w:rPr>
      </w:pPr>
    </w:p>
    <w:p w:rsidR="00A537FF" w:rsidRPr="00A537FF" w:rsidRDefault="00A537FF" w:rsidP="00A537FF">
      <w:pPr>
        <w:autoSpaceDE w:val="0"/>
        <w:autoSpaceDN w:val="0"/>
        <w:adjustRightInd w:val="0"/>
        <w:spacing w:line="240" w:lineRule="auto"/>
        <w:ind w:right="-334"/>
        <w:contextualSpacing/>
        <w:jc w:val="lowKashida"/>
        <w:rPr>
          <w:rFonts w:ascii="Times New Roman" w:eastAsia="Calibri" w:hAnsi="Times New Roman" w:cs="Times New Roman"/>
        </w:rPr>
      </w:pPr>
      <w:r w:rsidRPr="00A537FF">
        <w:rPr>
          <w:rFonts w:ascii="Times New Roman" w:eastAsia="Calibri" w:hAnsi="Times New Roman" w:cs="Times New Roman"/>
        </w:rPr>
        <w:t>The authors acknowledge GCC patents office for granted this project GCC Patent No. GC0002755 and European patent office for granted Europe patent No. 2263681. The authors also acknowledge Professor Enas A Hamed, Professor of Physiology, Faculty of Medicine, Assiut University, Assiut, Egypt for critical reading of the manuscript. This work was funded by ALZAMEL Scientific Chair for Cancer Researches no "429/3/KBM.</w:t>
      </w:r>
    </w:p>
    <w:p w:rsidR="00A537FF" w:rsidRPr="00A537FF" w:rsidRDefault="00A537FF" w:rsidP="00A537FF">
      <w:pPr>
        <w:autoSpaceDE w:val="0"/>
        <w:autoSpaceDN w:val="0"/>
        <w:adjustRightInd w:val="0"/>
        <w:spacing w:line="240" w:lineRule="auto"/>
        <w:contextualSpacing/>
        <w:jc w:val="both"/>
        <w:rPr>
          <w:rFonts w:ascii="Times New Roman" w:eastAsia="Calibri" w:hAnsi="Times New Roman" w:cs="Times New Roman"/>
          <w:color w:val="0D0D0D"/>
          <w:sz w:val="24"/>
          <w:szCs w:val="24"/>
        </w:rPr>
      </w:pPr>
    </w:p>
    <w:p w:rsidR="00A537FF" w:rsidRPr="00A537FF" w:rsidRDefault="00A537FF" w:rsidP="00A537FF">
      <w:pPr>
        <w:spacing w:line="240" w:lineRule="auto"/>
        <w:contextualSpacing/>
        <w:rPr>
          <w:rFonts w:ascii="Times New Roman" w:eastAsia="Calibri" w:hAnsi="Times New Roman" w:cs="Times New Roman"/>
          <w:b/>
          <w:bCs/>
          <w:color w:val="0D0D0D"/>
          <w:sz w:val="24"/>
          <w:szCs w:val="24"/>
        </w:rPr>
      </w:pPr>
      <w:r w:rsidRPr="00A537FF">
        <w:rPr>
          <w:rFonts w:ascii="Times New Roman" w:eastAsia="Calibri" w:hAnsi="Times New Roman" w:cs="Times New Roman"/>
          <w:b/>
          <w:bCs/>
          <w:color w:val="0D0D0D"/>
          <w:sz w:val="24"/>
          <w:szCs w:val="24"/>
        </w:rPr>
        <w:t xml:space="preserve">Competing interests: </w:t>
      </w:r>
    </w:p>
    <w:p w:rsidR="00A537FF" w:rsidRPr="00A537FF" w:rsidRDefault="00A537FF" w:rsidP="00A537FF">
      <w:pPr>
        <w:autoSpaceDE w:val="0"/>
        <w:autoSpaceDN w:val="0"/>
        <w:adjustRightInd w:val="0"/>
        <w:spacing w:line="240" w:lineRule="auto"/>
        <w:contextualSpacing/>
        <w:jc w:val="both"/>
        <w:rPr>
          <w:rFonts w:ascii="Times New Roman" w:eastAsia="Calibri" w:hAnsi="Times New Roman" w:cs="Times New Roman"/>
          <w:color w:val="0D0D0D"/>
          <w:sz w:val="24"/>
          <w:szCs w:val="24"/>
        </w:rPr>
      </w:pPr>
      <w:r w:rsidRPr="00A537FF">
        <w:rPr>
          <w:rFonts w:ascii="Times New Roman" w:eastAsia="Calibri" w:hAnsi="Times New Roman" w:cs="Times New Roman"/>
          <w:color w:val="0D0D0D"/>
          <w:sz w:val="24"/>
          <w:szCs w:val="24"/>
        </w:rPr>
        <w:t xml:space="preserve">The authors declare that no competing interests at this moment. </w:t>
      </w:r>
    </w:p>
    <w:p w:rsidR="00A537FF" w:rsidRPr="00A537FF" w:rsidRDefault="00A537FF" w:rsidP="00A537FF">
      <w:pPr>
        <w:autoSpaceDE w:val="0"/>
        <w:autoSpaceDN w:val="0"/>
        <w:adjustRightInd w:val="0"/>
        <w:spacing w:line="240" w:lineRule="auto"/>
        <w:contextualSpacing/>
        <w:jc w:val="both"/>
        <w:rPr>
          <w:rFonts w:ascii="Times New Roman" w:eastAsia="Calibri" w:hAnsi="Times New Roman" w:cs="Times New Roman"/>
          <w:b/>
          <w:bCs/>
          <w:color w:val="0D0D0D"/>
          <w:sz w:val="24"/>
          <w:szCs w:val="24"/>
        </w:rPr>
      </w:pPr>
    </w:p>
    <w:p w:rsidR="00A537FF" w:rsidRPr="00A537FF" w:rsidRDefault="00A537FF" w:rsidP="00A537FF">
      <w:pPr>
        <w:autoSpaceDE w:val="0"/>
        <w:autoSpaceDN w:val="0"/>
        <w:adjustRightInd w:val="0"/>
        <w:spacing w:line="240" w:lineRule="auto"/>
        <w:rPr>
          <w:rFonts w:ascii="Times New Roman" w:eastAsia="Calibri" w:hAnsi="Times New Roman" w:cs="Times New Roman"/>
          <w:b/>
          <w:bCs/>
          <w:color w:val="0D0D0D"/>
          <w:sz w:val="24"/>
          <w:szCs w:val="24"/>
        </w:rPr>
      </w:pPr>
      <w:r w:rsidRPr="00A537FF">
        <w:rPr>
          <w:rFonts w:ascii="Times New Roman" w:eastAsia="Calibri" w:hAnsi="Times New Roman" w:cs="Times New Roman"/>
          <w:b/>
          <w:bCs/>
          <w:color w:val="0D0D0D"/>
          <w:sz w:val="24"/>
          <w:szCs w:val="24"/>
        </w:rPr>
        <w:t>Authors contributions:</w:t>
      </w:r>
    </w:p>
    <w:p w:rsidR="00A537FF" w:rsidRPr="00A537FF" w:rsidRDefault="00A537FF" w:rsidP="00A537FF">
      <w:pPr>
        <w:spacing w:line="240" w:lineRule="auto"/>
        <w:jc w:val="both"/>
        <w:rPr>
          <w:rFonts w:ascii="Times New Roman" w:eastAsia="Calibri" w:hAnsi="Times New Roman" w:cs="Times New Roman"/>
          <w:color w:val="0D0D0D"/>
          <w:sz w:val="24"/>
          <w:szCs w:val="24"/>
        </w:rPr>
      </w:pPr>
      <w:r w:rsidRPr="00A537FF">
        <w:rPr>
          <w:rFonts w:ascii="Times New Roman" w:eastAsia="Calibri" w:hAnsi="Times New Roman" w:cs="Times New Roman"/>
          <w:color w:val="0D0D0D"/>
          <w:sz w:val="24"/>
          <w:szCs w:val="24"/>
        </w:rPr>
        <w:t xml:space="preserve">FatenKhorshid: The principle investigator that was conducted this </w:t>
      </w:r>
      <w:r w:rsidRPr="00A537FF">
        <w:rPr>
          <w:rFonts w:ascii="Times New Roman" w:eastAsia="Calibri" w:hAnsi="Times New Roman" w:cs="Times New Roman"/>
          <w:noProof/>
          <w:color w:val="0D0D0D"/>
          <w:sz w:val="24"/>
          <w:szCs w:val="24"/>
        </w:rPr>
        <w:t>project</w:t>
      </w:r>
      <w:r w:rsidRPr="00A537FF">
        <w:rPr>
          <w:rFonts w:ascii="Times New Roman" w:eastAsia="Calibri" w:hAnsi="Times New Roman" w:cs="Times New Roman"/>
          <w:color w:val="0D0D0D"/>
          <w:sz w:val="24"/>
          <w:szCs w:val="24"/>
        </w:rPr>
        <w:t xml:space="preserve"> conceived and designed the study and revised manuscript for important intellectual content. She acts as guarantor of the study; </w:t>
      </w:r>
      <w:r w:rsidRPr="00A537FF">
        <w:rPr>
          <w:rFonts w:ascii="Times New Roman" w:eastAsia="Times New Roman" w:hAnsi="Times New Roman" w:cs="Times New Roman"/>
          <w:color w:val="000000"/>
          <w:sz w:val="24"/>
          <w:szCs w:val="24"/>
          <w:lang w:eastAsia="ar-SA"/>
        </w:rPr>
        <w:t>SnaaGhazy Al-Attas and NagwaTawfik</w:t>
      </w:r>
      <w:r w:rsidRPr="00A537FF">
        <w:rPr>
          <w:rFonts w:ascii="Times New Roman" w:eastAsia="Calibri" w:hAnsi="Times New Roman" w:cs="Times New Roman"/>
          <w:color w:val="0D0D0D"/>
          <w:sz w:val="24"/>
          <w:szCs w:val="24"/>
        </w:rPr>
        <w:t xml:space="preserve">: shared in design the study and collection of data; </w:t>
      </w:r>
      <w:r w:rsidRPr="00A537FF">
        <w:rPr>
          <w:rFonts w:ascii="Times New Roman" w:eastAsia="Times New Roman" w:hAnsi="Times New Roman" w:cs="Times New Roman"/>
          <w:color w:val="000000"/>
          <w:sz w:val="24"/>
          <w:szCs w:val="24"/>
          <w:lang w:eastAsia="ar-SA"/>
        </w:rPr>
        <w:t>Yossery A Elsourojy</w:t>
      </w:r>
      <w:r w:rsidRPr="00A537FF">
        <w:rPr>
          <w:rFonts w:ascii="Times New Roman" w:eastAsia="Calibri" w:hAnsi="Times New Roman" w:cs="Times New Roman"/>
          <w:color w:val="0D0D0D"/>
          <w:sz w:val="24"/>
          <w:szCs w:val="24"/>
        </w:rPr>
        <w:t xml:space="preserve">supplied the virus and share in writing the manuscript, Samah Noor: revised inputs regarding the design and drafted the manuscript and </w:t>
      </w:r>
      <w:r w:rsidRPr="00A537FF">
        <w:rPr>
          <w:rFonts w:ascii="Times New Roman" w:eastAsia="Times New Roman" w:hAnsi="Times New Roman" w:cs="Times New Roman"/>
          <w:color w:val="000000"/>
          <w:sz w:val="24"/>
          <w:szCs w:val="24"/>
          <w:lang w:eastAsia="ar-SA"/>
        </w:rPr>
        <w:t xml:space="preserve">RandaAlshehri: made the </w:t>
      </w:r>
      <w:r w:rsidRPr="00A537FF">
        <w:rPr>
          <w:rFonts w:ascii="Times New Roman" w:eastAsia="Times New Roman" w:hAnsi="Times New Roman" w:cs="Times New Roman"/>
          <w:i/>
          <w:iCs/>
          <w:color w:val="000000"/>
          <w:sz w:val="24"/>
          <w:szCs w:val="24"/>
          <w:lang w:eastAsia="ar-SA"/>
        </w:rPr>
        <w:t>in vivo</w:t>
      </w:r>
      <w:r w:rsidRPr="00A537FF">
        <w:rPr>
          <w:rFonts w:ascii="Times New Roman" w:eastAsia="Times New Roman" w:hAnsi="Times New Roman" w:cs="Times New Roman"/>
          <w:color w:val="000000"/>
          <w:sz w:val="24"/>
          <w:szCs w:val="24"/>
          <w:lang w:eastAsia="ar-SA"/>
        </w:rPr>
        <w:t xml:space="preserve"> part of the experiment</w:t>
      </w:r>
      <w:r w:rsidRPr="00A537FF">
        <w:rPr>
          <w:rFonts w:ascii="Times New Roman" w:eastAsia="Calibri" w:hAnsi="Times New Roman" w:cs="Times New Roman"/>
          <w:color w:val="0D0D0D"/>
          <w:sz w:val="24"/>
          <w:szCs w:val="24"/>
        </w:rPr>
        <w:t>. The final manuscript was approved by all authors.</w:t>
      </w:r>
    </w:p>
    <w:p w:rsidR="00A537FF" w:rsidRDefault="00A537FF" w:rsidP="00A537FF">
      <w:pPr>
        <w:tabs>
          <w:tab w:val="right" w:pos="284"/>
        </w:tabs>
        <w:spacing w:line="240" w:lineRule="auto"/>
        <w:jc w:val="both"/>
        <w:rPr>
          <w:rFonts w:ascii="Times New Roman" w:eastAsia="Calibri" w:hAnsi="Times New Roman" w:cs="Times New Roman"/>
          <w:b/>
          <w:bCs/>
          <w:sz w:val="24"/>
          <w:szCs w:val="24"/>
        </w:rPr>
      </w:pPr>
      <w:r w:rsidRPr="00A537FF">
        <w:rPr>
          <w:rFonts w:ascii="Times New Roman" w:eastAsia="Calibri" w:hAnsi="Times New Roman" w:cs="Times New Roman"/>
          <w:b/>
          <w:bCs/>
          <w:sz w:val="24"/>
          <w:szCs w:val="24"/>
        </w:rPr>
        <w:t>References:</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1.</w:t>
      </w:r>
      <w:r w:rsidRPr="00A537FF">
        <w:rPr>
          <w:rFonts w:ascii="Times New Roman" w:eastAsia="Calibri" w:hAnsi="Times New Roman" w:cs="Times New Roman"/>
          <w:bCs/>
          <w:sz w:val="24"/>
          <w:szCs w:val="24"/>
        </w:rPr>
        <w:tab/>
        <w:t>Al-Attas, A.S., 2008.Determination of Essential Elements in Milk and Urine of Camel and inNigella sativa Seeds. Arabian J. Chem. 1 (2), 123-129.</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2.</w:t>
      </w:r>
      <w:r w:rsidRPr="00A537FF">
        <w:rPr>
          <w:rFonts w:ascii="Times New Roman" w:eastAsia="Calibri" w:hAnsi="Times New Roman" w:cs="Times New Roman"/>
          <w:bCs/>
          <w:sz w:val="24"/>
          <w:szCs w:val="24"/>
        </w:rPr>
        <w:tab/>
        <w:t>Alghamdi, Z. Khorshid, F.K., 2012. Cytotoxicity of the Urine of Different Camel Breeds on the Proliferation of Lung Cancer Cells, A549. Journal of Natural Sciences Research 2 (5), 8-16.</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3.</w:t>
      </w:r>
      <w:r w:rsidRPr="00A537FF">
        <w:rPr>
          <w:rFonts w:ascii="Times New Roman" w:eastAsia="Calibri" w:hAnsi="Times New Roman" w:cs="Times New Roman"/>
          <w:bCs/>
          <w:sz w:val="24"/>
          <w:szCs w:val="24"/>
        </w:rPr>
        <w:tab/>
        <w:t>Alhaider, A.Bayoumy, N.,  Argo, E.,  Gader, A.,  Stead, D., 2012. Survey of the camel urinary proteome by shotgun proteomics using a multiple database search strategy. Proteomics 12 (22), 3403-3406.</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4.</w:t>
      </w:r>
      <w:r w:rsidRPr="00A537FF">
        <w:rPr>
          <w:rFonts w:ascii="Times New Roman" w:eastAsia="Calibri" w:hAnsi="Times New Roman" w:cs="Times New Roman"/>
          <w:bCs/>
          <w:sz w:val="24"/>
          <w:szCs w:val="24"/>
        </w:rPr>
        <w:tab/>
        <w:t>Al-Harbi, M.M., Qureshi, S.,  Ahmed, M.M.,  Raza, M.,  Baig, M.Z.,  Shah, A.H., 1996. Effect of camel urine on the cytological and biochemical changes induced by cyclophosphamide in mice. Journal of Ethnopharmacology 52 (3), 129-137.</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lastRenderedPageBreak/>
        <w:t>5.</w:t>
      </w:r>
      <w:r w:rsidRPr="00A537FF">
        <w:rPr>
          <w:rFonts w:ascii="Times New Roman" w:eastAsia="Calibri" w:hAnsi="Times New Roman" w:cs="Times New Roman"/>
          <w:bCs/>
          <w:sz w:val="24"/>
          <w:szCs w:val="24"/>
        </w:rPr>
        <w:tab/>
        <w:t>Altman, S., Randers, L., Govind, R.M., 1993. Comparison of trypan blue dye exclusion and fluorometric assays for mammalian cell viability determinations. Biotechnol.Prog.9 (6), 671-674.</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6.</w:t>
      </w:r>
      <w:r w:rsidRPr="00A537FF">
        <w:rPr>
          <w:rFonts w:ascii="Times New Roman" w:eastAsia="Calibri" w:hAnsi="Times New Roman" w:cs="Times New Roman"/>
          <w:bCs/>
          <w:sz w:val="24"/>
          <w:szCs w:val="24"/>
        </w:rPr>
        <w:tab/>
        <w:t>Amer, H.A., Al-Hendi, A.B., 1996.Physical, biochemical and microscopically analysis of camel urine. J. Camel Practice Res 3 (1), 17-21.</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7.</w:t>
      </w:r>
      <w:r w:rsidRPr="00A537FF">
        <w:rPr>
          <w:rFonts w:ascii="Times New Roman" w:eastAsia="Calibri" w:hAnsi="Times New Roman" w:cs="Times New Roman"/>
          <w:bCs/>
          <w:sz w:val="24"/>
          <w:szCs w:val="24"/>
        </w:rPr>
        <w:tab/>
        <w:t>Clayden, E.C., 1971. Practical Section Cutting and Staining – Part 1. London: Churchill Livingstone, p.p. 69.</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8.</w:t>
      </w:r>
      <w:r w:rsidRPr="00A537FF">
        <w:rPr>
          <w:rFonts w:ascii="Times New Roman" w:eastAsia="Calibri" w:hAnsi="Times New Roman" w:cs="Times New Roman"/>
          <w:bCs/>
          <w:sz w:val="24"/>
          <w:szCs w:val="24"/>
        </w:rPr>
        <w:tab/>
        <w:t>El-Shahawy, A.,  Elsawi, N.M., Baker, W.S., Khorshid, F., Geweely, N.S., 2010. Spectral analysis, molecular orbital calculations and antimicrobial activity of PMF-G fraction extracted from PM-701. Int. J. PharmaBiosci. 1 (1), 1-19.</w:t>
      </w:r>
    </w:p>
    <w:p w:rsidR="00A537FF" w:rsidRPr="00A537FF" w:rsidRDefault="00A537FF" w:rsidP="00A537FF">
      <w:pPr>
        <w:tabs>
          <w:tab w:val="right" w:pos="284"/>
        </w:tabs>
        <w:spacing w:line="240" w:lineRule="auto"/>
        <w:jc w:val="both"/>
        <w:rPr>
          <w:rFonts w:ascii="Times New Roman" w:eastAsia="Calibri" w:hAnsi="Times New Roman" w:cs="Times New Roman"/>
          <w:bCs/>
          <w:sz w:val="24"/>
          <w:szCs w:val="24"/>
        </w:rPr>
      </w:pPr>
      <w:r w:rsidRPr="00A537FF">
        <w:rPr>
          <w:rFonts w:ascii="Times New Roman" w:eastAsia="Calibri" w:hAnsi="Times New Roman" w:cs="Times New Roman"/>
          <w:bCs/>
          <w:sz w:val="24"/>
          <w:szCs w:val="24"/>
        </w:rPr>
        <w:t>9.</w:t>
      </w:r>
      <w:r w:rsidRPr="00A537FF">
        <w:rPr>
          <w:rFonts w:ascii="Times New Roman" w:eastAsia="Calibri" w:hAnsi="Times New Roman" w:cs="Times New Roman"/>
          <w:bCs/>
          <w:sz w:val="24"/>
          <w:szCs w:val="24"/>
        </w:rPr>
        <w:tab/>
        <w:t>Gerhauser, C., Lee, S.K., Kosmeder, J.W., Moriarty, R.M., Hamel, E., Mehta, R.G., Moon, R.C., Pezzuto, J.M., 1997.Regulation of ornithine decarboxylase induction by deguelin, a natural product cancer chemopreventive agent. Cancer Res 57 (16), 3429-3435.</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w:t>
      </w:r>
      <w:r w:rsidR="00A537FF" w:rsidRPr="00A537FF">
        <w:rPr>
          <w:rFonts w:ascii="Times New Roman" w:eastAsia="Calibri" w:hAnsi="Times New Roman" w:cs="Times New Roman"/>
          <w:bCs/>
          <w:sz w:val="24"/>
          <w:szCs w:val="24"/>
        </w:rPr>
        <w:t>Giaever, I., Keese, C.R., 1986. Use of electric fields to monitor the dynamical aspect of cell behavior in tissue culture. IEEE Trans Biomed Eng. 33 (2), 242-247.</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w:t>
      </w:r>
      <w:r w:rsidR="00A537FF" w:rsidRPr="00A537FF">
        <w:rPr>
          <w:rFonts w:ascii="Times New Roman" w:eastAsia="Calibri" w:hAnsi="Times New Roman" w:cs="Times New Roman"/>
          <w:bCs/>
          <w:sz w:val="24"/>
          <w:szCs w:val="24"/>
        </w:rPr>
        <w:t>Goldman, I., Aleksey, D.V., Sadchikova, E.R., 2010. Human lactoferrin can be alternative to antibiotics. Proceedings of the World Medical Conference, WSEAS Press.</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12.</w:t>
      </w:r>
      <w:r w:rsidR="00A537FF" w:rsidRPr="00A537FF">
        <w:rPr>
          <w:rFonts w:ascii="Times New Roman" w:eastAsia="Calibri" w:hAnsi="Times New Roman" w:cs="Times New Roman"/>
          <w:bCs/>
          <w:sz w:val="24"/>
          <w:szCs w:val="24"/>
        </w:rPr>
        <w:t>Ho-Joon, S., Myung, S.C., Suk, Y.J., Hyng, K., Kyung, I.M., 2000. In vitro cytotoxicity of Acanthamoeb spp. isolated from contact lens containers in Korea by crystal violet staining and LDH release assay. The Korean Journal of Parasitology 38 (2), 99-102.</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13.</w:t>
      </w:r>
      <w:r w:rsidR="00A537FF" w:rsidRPr="00A537FF">
        <w:rPr>
          <w:rFonts w:ascii="Times New Roman" w:eastAsia="Calibri" w:hAnsi="Times New Roman" w:cs="Times New Roman"/>
          <w:bCs/>
          <w:sz w:val="24"/>
          <w:szCs w:val="24"/>
        </w:rPr>
        <w:t>Khan, A.A., Alzohairy, M., 2011. Hepatoprotective Effects of Camel Milk against CCl4-induced Hepatotoxicity in Rats. Asian Journal of Biochemistry 6 (2), 171-180.</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14.</w:t>
      </w:r>
      <w:r w:rsidR="00A537FF" w:rsidRPr="00A537FF">
        <w:rPr>
          <w:rFonts w:ascii="Times New Roman" w:eastAsia="Calibri" w:hAnsi="Times New Roman" w:cs="Times New Roman"/>
          <w:bCs/>
          <w:sz w:val="24"/>
          <w:szCs w:val="24"/>
        </w:rPr>
        <w:t>Khorshid, F.A., Rahimaldeen, S.A., Alameri, J.S., 2011. Apoptosis study on the effect of PMF on different cancer cells. International Journal of Biological Chemistry 5, 150–155.</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15.</w:t>
      </w:r>
      <w:r w:rsidR="00A537FF" w:rsidRPr="00A537FF">
        <w:rPr>
          <w:rFonts w:ascii="Times New Roman" w:eastAsia="Calibri" w:hAnsi="Times New Roman" w:cs="Times New Roman"/>
          <w:bCs/>
          <w:sz w:val="24"/>
          <w:szCs w:val="24"/>
        </w:rPr>
        <w:t>Khorshid, F.A.,  2009. Potential anticancer natural product against human lung cancer cells. Trends Med. Res. 1 (4), 8-15.</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16.</w:t>
      </w:r>
      <w:r w:rsidR="00A537FF" w:rsidRPr="00A537FF">
        <w:rPr>
          <w:rFonts w:ascii="Times New Roman" w:eastAsia="Calibri" w:hAnsi="Times New Roman" w:cs="Times New Roman"/>
          <w:bCs/>
          <w:sz w:val="24"/>
          <w:szCs w:val="24"/>
        </w:rPr>
        <w:t>Khorshid, F.A., Osman, A.A., Abdulsattar, E., 2009. Cytotoxicity of bioactive fractions from PM 701.EJEAFChe 8, 1091–1098.</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17.</w:t>
      </w:r>
      <w:r w:rsidR="00A537FF" w:rsidRPr="00A537FF">
        <w:rPr>
          <w:rFonts w:ascii="Times New Roman" w:eastAsia="Calibri" w:hAnsi="Times New Roman" w:cs="Times New Roman"/>
          <w:bCs/>
          <w:sz w:val="24"/>
          <w:szCs w:val="24"/>
        </w:rPr>
        <w:t>Khorshid, F.A., 2008. Preclinical evaluation of PM 701 in experimental animals. Int. J. Pharmacol. 1 (4), 443-451.</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18.</w:t>
      </w:r>
      <w:r w:rsidR="00A537FF" w:rsidRPr="00A537FF">
        <w:rPr>
          <w:rFonts w:ascii="Times New Roman" w:eastAsia="Calibri" w:hAnsi="Times New Roman" w:cs="Times New Roman"/>
          <w:bCs/>
          <w:sz w:val="24"/>
          <w:szCs w:val="24"/>
        </w:rPr>
        <w:t>Khorshid, F.A., Moshref, S.S., Heffny, N., 2005. An ideal selective anticancer agent in vitro, I- tissue culture study of human lung cancer cells A549. JKAU- Medical Sciences.12: 3–18.</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19.</w:t>
      </w:r>
      <w:r w:rsidR="00A537FF" w:rsidRPr="00A537FF">
        <w:rPr>
          <w:rFonts w:ascii="Times New Roman" w:eastAsia="Calibri" w:hAnsi="Times New Roman" w:cs="Times New Roman"/>
          <w:bCs/>
          <w:sz w:val="24"/>
          <w:szCs w:val="24"/>
        </w:rPr>
        <w:t>Moshref, S.S., Khorshid, F.A., Jamal, Y., 2006. The effect of PM 701 on mice leukemic cells: I-tissue culture study of L1210 (in vitro) II-in vivo study on mice. JKAU Med. Sci. 13 (1), 3-19.</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20.</w:t>
      </w:r>
      <w:r w:rsidR="00A537FF" w:rsidRPr="00A537FF">
        <w:rPr>
          <w:rFonts w:ascii="Times New Roman" w:eastAsia="Calibri" w:hAnsi="Times New Roman" w:cs="Times New Roman"/>
          <w:bCs/>
          <w:sz w:val="24"/>
          <w:szCs w:val="24"/>
        </w:rPr>
        <w:t>Nee, A.,  Shoman, S., Mohamed, A., 2011. Nanocapsulation of Rift valley fever vaccine candidates and relative immunological and histopathological reactivity in out bred vs Swiss mice. J. Vacc. and Vaccination 2 (1), 115-118.</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21.</w:t>
      </w:r>
      <w:r w:rsidR="00A537FF" w:rsidRPr="00A537FF">
        <w:rPr>
          <w:rFonts w:ascii="Times New Roman" w:eastAsia="Calibri" w:hAnsi="Times New Roman" w:cs="Times New Roman"/>
          <w:bCs/>
          <w:sz w:val="24"/>
          <w:szCs w:val="24"/>
        </w:rPr>
        <w:t>Nujoud, A., Gaafar, A.,  Al-Otaibi, B., Al-Jammaz, I.,  AlHussein, K.,  Aboussekhra, A., 2011. Camel urine components display anti-cancer properties in vitro. Journal of Ethnopharmacology 143 (3), 819-825.</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22.</w:t>
      </w:r>
      <w:r w:rsidR="00A537FF" w:rsidRPr="00A537FF">
        <w:rPr>
          <w:rFonts w:ascii="Times New Roman" w:eastAsia="Calibri" w:hAnsi="Times New Roman" w:cs="Times New Roman"/>
          <w:bCs/>
          <w:sz w:val="24"/>
          <w:szCs w:val="24"/>
        </w:rPr>
        <w:t>Rancovic, B., Kosanic, M., Sukdolak, S., 2010. Antimicrobial activity of some lichens and their components. Recent AdvClin Med 1790-5125, 279-286.</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23.</w:t>
      </w:r>
      <w:r w:rsidR="00A537FF" w:rsidRPr="00A537FF">
        <w:rPr>
          <w:rFonts w:ascii="Times New Roman" w:eastAsia="Calibri" w:hAnsi="Times New Roman" w:cs="Times New Roman"/>
          <w:bCs/>
          <w:sz w:val="24"/>
          <w:szCs w:val="24"/>
        </w:rPr>
        <w:t>Reed, L.J., Muench, H., 1938. A simple method of estimating fifty percent endpoints. The American Journal of Hygiene 27 (1), 493-497.</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24.</w:t>
      </w:r>
      <w:r w:rsidR="00A537FF" w:rsidRPr="00A537FF">
        <w:rPr>
          <w:rFonts w:ascii="Times New Roman" w:eastAsia="Calibri" w:hAnsi="Times New Roman" w:cs="Times New Roman"/>
          <w:bCs/>
          <w:sz w:val="24"/>
          <w:szCs w:val="24"/>
        </w:rPr>
        <w:t>Schwartsmann, G., 2000. Marine organisms and other novel natural sources of new cancer drugs. Ann Oncol 11 (Suppl 3), 235-243.</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25.</w:t>
      </w:r>
      <w:r w:rsidR="00A537FF" w:rsidRPr="00A537FF">
        <w:rPr>
          <w:rFonts w:ascii="Times New Roman" w:eastAsia="Calibri" w:hAnsi="Times New Roman" w:cs="Times New Roman"/>
          <w:bCs/>
          <w:sz w:val="24"/>
          <w:szCs w:val="24"/>
        </w:rPr>
        <w:t>Shinji, H., 2005. The broad anti-viral agent glycyrrhizin directly modulates the fluidity of plasma membrane and HIV-1 envelope. The Biochemical journal.392 (Pt 1), 191-199.</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00A537FF" w:rsidRPr="00A537FF">
        <w:rPr>
          <w:rFonts w:ascii="Times New Roman" w:eastAsia="Calibri" w:hAnsi="Times New Roman" w:cs="Times New Roman"/>
          <w:bCs/>
          <w:sz w:val="24"/>
          <w:szCs w:val="24"/>
        </w:rPr>
        <w:t>Talib, V.H., 2007 A handbook of medical laboratory technology, second ed. New Delhi, CBS Publishers &amp; Distributors, p.p. 155- 167.</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27.</w:t>
      </w:r>
      <w:r w:rsidR="00A537FF" w:rsidRPr="00A537FF">
        <w:rPr>
          <w:rFonts w:ascii="Times New Roman" w:eastAsia="Calibri" w:hAnsi="Times New Roman" w:cs="Times New Roman"/>
          <w:bCs/>
          <w:sz w:val="24"/>
          <w:szCs w:val="24"/>
        </w:rPr>
        <w:t>Thomson, J.A., Itskovitz-Eldor, J., Shapiro, S.S., Waknitz, M.A., Swiergiel, J.J., 1998. Embryonic stem cell lines derived from human blastocysts. Science (New York) 282 (5391), 1145-1147.</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00A537FF" w:rsidRPr="00A537FF">
        <w:rPr>
          <w:rFonts w:ascii="Times New Roman" w:eastAsia="Calibri" w:hAnsi="Times New Roman" w:cs="Times New Roman"/>
          <w:bCs/>
          <w:sz w:val="24"/>
          <w:szCs w:val="24"/>
        </w:rPr>
        <w:t>Ueda, R., Takahashi, T., Watanabe, H., Kato, T., Suyama, R., Takahashi, T., 1989. Chemosinsitivity and radiosinsitivity of small cell lumg cancer cell line studied  by a newly developed 3-(4,5-dimethylthiazol-2-yl)-2,5-diphenyltetrazolium bromide (MTT) hybrid assay. Cancer Res. 49 (17), 4785-4790.</w:t>
      </w:r>
    </w:p>
    <w:p w:rsidR="00A537FF" w:rsidRPr="00A537FF" w:rsidRDefault="00F10C29" w:rsidP="00A537FF">
      <w:pPr>
        <w:tabs>
          <w:tab w:val="right" w:pos="284"/>
        </w:tabs>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00A537FF" w:rsidRPr="00A537FF">
        <w:rPr>
          <w:rFonts w:ascii="Times New Roman" w:eastAsia="Calibri" w:hAnsi="Times New Roman" w:cs="Times New Roman"/>
          <w:bCs/>
          <w:sz w:val="24"/>
          <w:szCs w:val="24"/>
        </w:rPr>
        <w:t>VanMeerloo, H. J., Kaspers,  J., 2011. Cell sensitivity assays: the MTT assay. Methods Mol  Biol., 731(1), 237-245.</w:t>
      </w:r>
    </w:p>
    <w:p w:rsidR="00A537FF" w:rsidRPr="00A537FF" w:rsidRDefault="00A537FF" w:rsidP="00A537FF">
      <w:pPr>
        <w:tabs>
          <w:tab w:val="right" w:pos="284"/>
        </w:tabs>
        <w:spacing w:line="240" w:lineRule="auto"/>
        <w:jc w:val="both"/>
        <w:rPr>
          <w:rFonts w:ascii="Times New Roman" w:eastAsia="Calibri" w:hAnsi="Times New Roman" w:cs="Times New Roman"/>
          <w:b/>
          <w:bCs/>
          <w:sz w:val="24"/>
          <w:szCs w:val="24"/>
        </w:rPr>
      </w:pPr>
    </w:p>
    <w:p w:rsidR="00A537FF" w:rsidRPr="00A537FF" w:rsidRDefault="00A537FF" w:rsidP="00A537FF">
      <w:pPr>
        <w:tabs>
          <w:tab w:val="right" w:pos="284"/>
        </w:tabs>
        <w:spacing w:line="240" w:lineRule="auto"/>
        <w:ind w:left="284"/>
        <w:jc w:val="both"/>
        <w:rPr>
          <w:rFonts w:ascii="Times New Roman" w:eastAsia="Calibri" w:hAnsi="Times New Roman" w:cs="Times New Roman"/>
          <w:sz w:val="24"/>
          <w:szCs w:val="24"/>
        </w:rPr>
      </w:pPr>
    </w:p>
    <w:p w:rsidR="00A537FF" w:rsidRPr="00A537FF" w:rsidRDefault="00A537FF" w:rsidP="00A537FF">
      <w:pPr>
        <w:tabs>
          <w:tab w:val="right" w:pos="284"/>
        </w:tabs>
        <w:spacing w:line="240" w:lineRule="auto"/>
        <w:jc w:val="both"/>
        <w:rPr>
          <w:rFonts w:ascii="Times New Roman" w:eastAsia="Calibri" w:hAnsi="Times New Roman" w:cs="Times New Roman"/>
          <w:b/>
          <w:bCs/>
          <w:sz w:val="24"/>
          <w:szCs w:val="24"/>
        </w:rPr>
      </w:pPr>
      <w:r w:rsidRPr="00A537FF">
        <w:rPr>
          <w:rFonts w:ascii="Times New Roman" w:eastAsia="Calibri" w:hAnsi="Times New Roman" w:cs="Times New Roman"/>
          <w:sz w:val="24"/>
          <w:szCs w:val="24"/>
        </w:rPr>
        <w:br w:type="page"/>
      </w:r>
      <w:r w:rsidRPr="00A537FF">
        <w:rPr>
          <w:rFonts w:ascii="Times New Roman" w:eastAsia="Calibri" w:hAnsi="Times New Roman" w:cs="Times New Roman"/>
          <w:b/>
          <w:bCs/>
          <w:sz w:val="24"/>
          <w:szCs w:val="24"/>
        </w:rPr>
        <w:lastRenderedPageBreak/>
        <w:t>Figure legends:</w:t>
      </w:r>
    </w:p>
    <w:p w:rsidR="00A537FF" w:rsidRDefault="00A537FF" w:rsidP="00A537FF">
      <w:pPr>
        <w:spacing w:line="240" w:lineRule="auto"/>
        <w:jc w:val="both"/>
        <w:rPr>
          <w:rFonts w:ascii="Times New Roman" w:eastAsia="Calibri" w:hAnsi="Times New Roman" w:cs="Times New Roman"/>
          <w:sz w:val="24"/>
          <w:szCs w:val="24"/>
          <w:rtl/>
        </w:rPr>
      </w:pPr>
      <w:r w:rsidRPr="00A537FF">
        <w:rPr>
          <w:rFonts w:ascii="Times New Roman" w:eastAsia="Calibri" w:hAnsi="Times New Roman" w:cs="Times New Roman"/>
          <w:b/>
          <w:bCs/>
          <w:sz w:val="24"/>
          <w:szCs w:val="24"/>
        </w:rPr>
        <w:t>Figure 1</w:t>
      </w:r>
      <w:r w:rsidRPr="00A537FF">
        <w:rPr>
          <w:rFonts w:ascii="Times New Roman" w:eastAsia="Calibri" w:hAnsi="Times New Roman" w:cs="Times New Roman"/>
          <w:sz w:val="24"/>
          <w:szCs w:val="24"/>
        </w:rPr>
        <w:t>Evaluation of viability of Vero cell line post treatment with PMF relatively to concentration using MTT assay (</w:t>
      </w:r>
      <w:r w:rsidRPr="00A537FF">
        <w:rPr>
          <w:rFonts w:ascii="Times New Roman" w:eastAsia="Calibri" w:hAnsi="Times New Roman" w:cs="Times New Roman"/>
          <w:color w:val="000000"/>
          <w:sz w:val="24"/>
          <w:szCs w:val="24"/>
        </w:rPr>
        <w:t>IC50 = 144 µgm).</w:t>
      </w:r>
    </w:p>
    <w:p w:rsidR="00F10C29" w:rsidRDefault="00F10C29" w:rsidP="00A537FF">
      <w:pPr>
        <w:spacing w:line="240" w:lineRule="auto"/>
        <w:jc w:val="both"/>
        <w:rPr>
          <w:rFonts w:ascii="Times New Roman" w:eastAsia="Calibri" w:hAnsi="Times New Roman" w:cs="Times New Roman"/>
          <w:sz w:val="24"/>
          <w:szCs w:val="24"/>
          <w:rtl/>
        </w:rPr>
      </w:pPr>
      <w:r>
        <w:rPr>
          <w:rFonts w:ascii="Times New Roman" w:eastAsia="Calibri" w:hAnsi="Times New Roman" w:cs="Times New Roman"/>
          <w:noProof/>
          <w:sz w:val="24"/>
          <w:szCs w:val="24"/>
          <w:rtl/>
        </w:rPr>
        <w:drawing>
          <wp:anchor distT="0" distB="0" distL="114300" distR="114300" simplePos="0" relativeHeight="251658240" behindDoc="1" locked="0" layoutInCell="1" allowOverlap="1">
            <wp:simplePos x="0" y="0"/>
            <wp:positionH relativeFrom="column">
              <wp:posOffset>723900</wp:posOffset>
            </wp:positionH>
            <wp:positionV relativeFrom="paragraph">
              <wp:posOffset>-4445</wp:posOffset>
            </wp:positionV>
            <wp:extent cx="4667248" cy="3600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 (1).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2794" cy="3604728"/>
                    </a:xfrm>
                    <a:prstGeom prst="rect">
                      <a:avLst/>
                    </a:prstGeom>
                  </pic:spPr>
                </pic:pic>
              </a:graphicData>
            </a:graphic>
          </wp:anchor>
        </w:drawing>
      </w:r>
    </w:p>
    <w:p w:rsidR="00F10C29" w:rsidRPr="00A537FF"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b/>
          <w:bCs/>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anchor distT="0" distB="0" distL="114300" distR="114300" simplePos="0" relativeHeight="251659264" behindDoc="1" locked="0" layoutInCell="1" allowOverlap="1">
            <wp:simplePos x="0" y="0"/>
            <wp:positionH relativeFrom="column">
              <wp:posOffset>590550</wp:posOffset>
            </wp:positionH>
            <wp:positionV relativeFrom="paragraph">
              <wp:posOffset>368935</wp:posOffset>
            </wp:positionV>
            <wp:extent cx="5267325" cy="34935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0670" cy="3495730"/>
                    </a:xfrm>
                    <a:prstGeom prst="rect">
                      <a:avLst/>
                    </a:prstGeom>
                  </pic:spPr>
                </pic:pic>
              </a:graphicData>
            </a:graphic>
          </wp:anchor>
        </w:drawing>
      </w:r>
      <w:r w:rsidR="00A537FF" w:rsidRPr="00A537FF">
        <w:rPr>
          <w:rFonts w:ascii="Times New Roman" w:eastAsia="Calibri" w:hAnsi="Times New Roman" w:cs="Times New Roman"/>
          <w:b/>
          <w:bCs/>
          <w:sz w:val="24"/>
          <w:szCs w:val="24"/>
        </w:rPr>
        <w:t>Figure 2</w:t>
      </w:r>
      <w:r w:rsidR="00A537FF" w:rsidRPr="00A537FF">
        <w:rPr>
          <w:rFonts w:ascii="Times New Roman" w:eastAsia="Calibri" w:hAnsi="Times New Roman" w:cs="Times New Roman"/>
          <w:sz w:val="24"/>
          <w:szCs w:val="24"/>
        </w:rPr>
        <w:t>Evaluation of viability of hepatocellular carcinoma cell line (HEPG-2) post treatment with PMF relatively to concentration using MTT assay (</w:t>
      </w:r>
      <w:r w:rsidR="00A537FF" w:rsidRPr="00A537FF">
        <w:rPr>
          <w:rFonts w:ascii="Times New Roman" w:eastAsia="Calibri" w:hAnsi="Times New Roman" w:cs="Times New Roman"/>
          <w:color w:val="000000"/>
          <w:sz w:val="24"/>
          <w:szCs w:val="24"/>
        </w:rPr>
        <w:t>IC50 = 90 µgm).</w:t>
      </w:r>
    </w:p>
    <w:p w:rsidR="00F10C29" w:rsidRDefault="00F10C29" w:rsidP="00F10C29">
      <w:pPr>
        <w:rPr>
          <w:rFonts w:ascii="Times New Roman" w:eastAsia="Calibri" w:hAnsi="Times New Roman" w:cs="Times New Roman"/>
          <w:sz w:val="24"/>
          <w:szCs w:val="24"/>
        </w:rPr>
      </w:pPr>
    </w:p>
    <w:p w:rsidR="00F10C29" w:rsidRDefault="00F10C29" w:rsidP="00F10C29">
      <w:pPr>
        <w:tabs>
          <w:tab w:val="left" w:pos="1410"/>
        </w:tabs>
        <w:rPr>
          <w:rFonts w:ascii="Times New Roman" w:eastAsia="Calibri" w:hAnsi="Times New Roman" w:cs="Times New Roman"/>
          <w:color w:val="000000"/>
          <w:sz w:val="24"/>
          <w:szCs w:val="24"/>
        </w:rPr>
      </w:pPr>
      <w:r>
        <w:rPr>
          <w:rFonts w:ascii="Times New Roman" w:eastAsia="Calibri" w:hAnsi="Times New Roman" w:cs="Times New Roman"/>
          <w:sz w:val="24"/>
          <w:szCs w:val="24"/>
        </w:rPr>
        <w:tab/>
      </w: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Default="00F10C29" w:rsidP="00A537FF">
      <w:pPr>
        <w:spacing w:line="240" w:lineRule="auto"/>
        <w:jc w:val="both"/>
        <w:rPr>
          <w:rFonts w:ascii="Times New Roman" w:eastAsia="Calibri" w:hAnsi="Times New Roman" w:cs="Times New Roman"/>
          <w:color w:val="000000"/>
          <w:sz w:val="24"/>
          <w:szCs w:val="24"/>
        </w:rPr>
      </w:pPr>
    </w:p>
    <w:p w:rsidR="00F10C29" w:rsidRPr="00A537FF" w:rsidRDefault="00F10C29" w:rsidP="00A537FF">
      <w:pPr>
        <w:spacing w:line="240" w:lineRule="auto"/>
        <w:jc w:val="both"/>
        <w:rPr>
          <w:rFonts w:ascii="Times New Roman" w:eastAsia="Calibri" w:hAnsi="Times New Roman" w:cs="Times New Roman"/>
          <w:color w:val="000000"/>
          <w:sz w:val="24"/>
          <w:szCs w:val="24"/>
        </w:rPr>
      </w:pPr>
    </w:p>
    <w:p w:rsidR="00A537FF" w:rsidRDefault="00F10C29" w:rsidP="00A537FF">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0288" behindDoc="1" locked="0" layoutInCell="1" allowOverlap="1">
            <wp:simplePos x="0" y="0"/>
            <wp:positionH relativeFrom="column">
              <wp:posOffset>247650</wp:posOffset>
            </wp:positionH>
            <wp:positionV relativeFrom="paragraph">
              <wp:posOffset>6350</wp:posOffset>
            </wp:positionV>
            <wp:extent cx="5743575" cy="3429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T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3429000"/>
                    </a:xfrm>
                    <a:prstGeom prst="rect">
                      <a:avLst/>
                    </a:prstGeom>
                  </pic:spPr>
                </pic:pic>
              </a:graphicData>
            </a:graphic>
          </wp:anchor>
        </w:drawing>
      </w:r>
      <w:r w:rsidR="00A537FF" w:rsidRPr="00A537FF">
        <w:rPr>
          <w:rFonts w:ascii="Times New Roman" w:eastAsia="Calibri" w:hAnsi="Times New Roman" w:cs="Times New Roman"/>
          <w:b/>
          <w:bCs/>
          <w:sz w:val="24"/>
          <w:szCs w:val="24"/>
        </w:rPr>
        <w:t>Figure 3</w:t>
      </w:r>
      <w:r w:rsidR="00A537FF" w:rsidRPr="00A537FF">
        <w:rPr>
          <w:rFonts w:ascii="Times New Roman" w:eastAsia="Calibri" w:hAnsi="Times New Roman" w:cs="Times New Roman"/>
          <w:sz w:val="24"/>
          <w:szCs w:val="24"/>
        </w:rPr>
        <w:t>Evaluation of vesicular stomatitis virus (VSV) titer post treatment at 37º C comparing with negative control.</w:t>
      </w: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Pr="00A537FF" w:rsidRDefault="00F10C29" w:rsidP="00A537FF">
      <w:pPr>
        <w:spacing w:line="240" w:lineRule="auto"/>
        <w:jc w:val="both"/>
        <w:rPr>
          <w:rFonts w:ascii="Times New Roman" w:eastAsia="Calibri" w:hAnsi="Times New Roman" w:cs="Times New Roman"/>
          <w:sz w:val="24"/>
          <w:szCs w:val="24"/>
          <w:lang w:bidi="ar-EG"/>
        </w:rPr>
      </w:pPr>
    </w:p>
    <w:p w:rsidR="00F10C29" w:rsidRDefault="00F10C29" w:rsidP="00A537FF">
      <w:pPr>
        <w:spacing w:line="240" w:lineRule="auto"/>
        <w:jc w:val="both"/>
        <w:rPr>
          <w:rFonts w:ascii="Times New Roman" w:eastAsia="Calibri" w:hAnsi="Times New Roman" w:cs="Times New Roman"/>
          <w:b/>
          <w:bCs/>
          <w:sz w:val="24"/>
          <w:szCs w:val="24"/>
        </w:rPr>
      </w:pPr>
    </w:p>
    <w:p w:rsidR="00A537FF" w:rsidRDefault="00A537FF" w:rsidP="00A537FF">
      <w:pPr>
        <w:spacing w:line="240" w:lineRule="auto"/>
        <w:jc w:val="both"/>
        <w:rPr>
          <w:rFonts w:ascii="Times New Roman" w:eastAsia="Calibri" w:hAnsi="Times New Roman" w:cs="Times New Roman"/>
          <w:sz w:val="24"/>
          <w:szCs w:val="24"/>
        </w:rPr>
      </w:pPr>
      <w:r w:rsidRPr="00A537FF">
        <w:rPr>
          <w:rFonts w:ascii="Times New Roman" w:eastAsia="Calibri" w:hAnsi="Times New Roman" w:cs="Times New Roman"/>
          <w:b/>
          <w:bCs/>
          <w:sz w:val="24"/>
          <w:szCs w:val="24"/>
        </w:rPr>
        <w:t>Figure 4</w:t>
      </w:r>
      <w:r w:rsidRPr="00A537FF">
        <w:rPr>
          <w:rFonts w:ascii="Times New Roman" w:eastAsia="Calibri" w:hAnsi="Times New Roman" w:cs="Times New Roman"/>
          <w:sz w:val="24"/>
          <w:szCs w:val="24"/>
        </w:rPr>
        <w:t>Comparative evaluation of virucidal activity of PMF to vesicular stomatitis virus (VSV) relatively to time.</w:t>
      </w:r>
    </w:p>
    <w:p w:rsidR="00F10C29" w:rsidRDefault="00C521FE" w:rsidP="00A537FF">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1" locked="0" layoutInCell="1" allowOverlap="1">
            <wp:simplePos x="0" y="0"/>
            <wp:positionH relativeFrom="column">
              <wp:posOffset>504825</wp:posOffset>
            </wp:positionH>
            <wp:positionV relativeFrom="paragraph">
              <wp:posOffset>162560</wp:posOffset>
            </wp:positionV>
            <wp:extent cx="5172075" cy="3324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T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2075" cy="3324225"/>
                    </a:xfrm>
                    <a:prstGeom prst="rect">
                      <a:avLst/>
                    </a:prstGeom>
                  </pic:spPr>
                </pic:pic>
              </a:graphicData>
            </a:graphic>
          </wp:anchor>
        </w:drawing>
      </w: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Default="00F10C29" w:rsidP="00A537FF">
      <w:pPr>
        <w:spacing w:line="240" w:lineRule="auto"/>
        <w:jc w:val="both"/>
        <w:rPr>
          <w:rFonts w:ascii="Times New Roman" w:eastAsia="Calibri" w:hAnsi="Times New Roman" w:cs="Times New Roman"/>
          <w:sz w:val="24"/>
          <w:szCs w:val="24"/>
        </w:rPr>
      </w:pPr>
    </w:p>
    <w:p w:rsidR="00F10C29" w:rsidRPr="00A537FF" w:rsidRDefault="00F10C29" w:rsidP="00A537FF">
      <w:pPr>
        <w:spacing w:line="240" w:lineRule="auto"/>
        <w:jc w:val="both"/>
        <w:rPr>
          <w:rFonts w:ascii="Times New Roman" w:eastAsia="Calibri" w:hAnsi="Times New Roman" w:cs="Times New Roman"/>
          <w:sz w:val="24"/>
          <w:szCs w:val="24"/>
          <w:lang w:bidi="ar-EG"/>
        </w:rPr>
      </w:pPr>
    </w:p>
    <w:p w:rsidR="00A537FF" w:rsidRPr="00A537FF" w:rsidRDefault="00A537FF" w:rsidP="00A537FF">
      <w:pPr>
        <w:spacing w:line="240" w:lineRule="auto"/>
        <w:jc w:val="both"/>
        <w:rPr>
          <w:rFonts w:ascii="Times New Roman" w:eastAsia="Calibri" w:hAnsi="Times New Roman" w:cs="Times New Roman"/>
          <w:color w:val="000000"/>
          <w:sz w:val="24"/>
          <w:szCs w:val="24"/>
        </w:rPr>
      </w:pPr>
      <w:r w:rsidRPr="00A537FF">
        <w:rPr>
          <w:rFonts w:ascii="Times New Roman" w:eastAsia="Calibri" w:hAnsi="Times New Roman" w:cs="Times New Roman"/>
          <w:b/>
          <w:bCs/>
          <w:color w:val="000000"/>
          <w:sz w:val="24"/>
          <w:szCs w:val="24"/>
        </w:rPr>
        <w:t>Figure 5</w:t>
      </w:r>
      <w:r w:rsidRPr="00A537FF">
        <w:rPr>
          <w:rFonts w:ascii="Times New Roman" w:eastAsia="Calibri" w:hAnsi="Times New Roman" w:cs="Times New Roman"/>
          <w:color w:val="000000"/>
          <w:sz w:val="24"/>
          <w:szCs w:val="24"/>
        </w:rPr>
        <w:t xml:space="preserve">Light microscope images of haematoxyline-eosin stained photographs of Rat liver. (A) Negative control rats after 7 days showed normal central vein (C.V), (B) Infected group treated with PMF (after 7 days) showed change of C.V,  (C) Negative control rats after 90 days showed normal C.V,  (D) Infected group treated with PMF after 7 days showed </w:t>
      </w:r>
      <w:r w:rsidRPr="00A537FF">
        <w:rPr>
          <w:rFonts w:ascii="Times New Roman" w:eastAsia="Calibri" w:hAnsi="Times New Roman" w:cs="Times New Roman"/>
          <w:noProof/>
          <w:color w:val="000000"/>
          <w:sz w:val="24"/>
          <w:szCs w:val="24"/>
        </w:rPr>
        <w:t>fewer</w:t>
      </w:r>
      <w:r w:rsidRPr="00A537FF">
        <w:rPr>
          <w:rFonts w:ascii="Times New Roman" w:eastAsia="Calibri" w:hAnsi="Times New Roman" w:cs="Times New Roman"/>
          <w:color w:val="000000"/>
          <w:sz w:val="24"/>
          <w:szCs w:val="24"/>
        </w:rPr>
        <w:t xml:space="preserve"> changes in C.V area.</w:t>
      </w:r>
    </w:p>
    <w:p w:rsidR="00A537FF" w:rsidRPr="00A537FF" w:rsidRDefault="00A537FF" w:rsidP="00A537FF">
      <w:pPr>
        <w:spacing w:line="480" w:lineRule="auto"/>
        <w:jc w:val="both"/>
        <w:rPr>
          <w:rFonts w:ascii="Times New Roman" w:eastAsia="Calibri" w:hAnsi="Times New Roman" w:cs="Times New Roman"/>
          <w:color w:val="000000"/>
          <w:sz w:val="24"/>
          <w:szCs w:val="24"/>
        </w:rPr>
      </w:pPr>
    </w:p>
    <w:p w:rsidR="00A537FF" w:rsidRPr="00A537FF" w:rsidRDefault="00C521FE" w:rsidP="00A537FF">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anchor distT="0" distB="0" distL="114300" distR="114300" simplePos="0" relativeHeight="251662336" behindDoc="1" locked="0" layoutInCell="1" allowOverlap="1">
            <wp:simplePos x="0" y="0"/>
            <wp:positionH relativeFrom="column">
              <wp:posOffset>371475</wp:posOffset>
            </wp:positionH>
            <wp:positionV relativeFrom="paragraph">
              <wp:posOffset>1905</wp:posOffset>
            </wp:positionV>
            <wp:extent cx="5438775" cy="4095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T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8775" cy="4095750"/>
                    </a:xfrm>
                    <a:prstGeom prst="rect">
                      <a:avLst/>
                    </a:prstGeom>
                  </pic:spPr>
                </pic:pic>
              </a:graphicData>
            </a:graphic>
          </wp:anchor>
        </w:drawing>
      </w:r>
    </w:p>
    <w:p w:rsidR="00A537FF" w:rsidRPr="00A537FF" w:rsidRDefault="00A537FF" w:rsidP="00A537FF">
      <w:pPr>
        <w:spacing w:line="480" w:lineRule="auto"/>
        <w:jc w:val="both"/>
        <w:rPr>
          <w:rFonts w:ascii="Times New Roman" w:eastAsia="Calibri" w:hAnsi="Times New Roman" w:cs="Times New Roman"/>
          <w:sz w:val="24"/>
          <w:szCs w:val="24"/>
          <w:lang w:bidi="ar-EG"/>
        </w:rPr>
      </w:pPr>
    </w:p>
    <w:p w:rsidR="00A537FF" w:rsidRPr="00A537FF" w:rsidRDefault="00A537FF" w:rsidP="00A537FF">
      <w:pPr>
        <w:spacing w:line="480" w:lineRule="auto"/>
        <w:jc w:val="both"/>
        <w:rPr>
          <w:rFonts w:ascii="Times New Roman" w:eastAsia="Calibri" w:hAnsi="Times New Roman" w:cs="Times New Roman"/>
          <w:sz w:val="24"/>
          <w:szCs w:val="24"/>
        </w:rPr>
      </w:pPr>
    </w:p>
    <w:p w:rsidR="00A537FF" w:rsidRPr="00A537FF" w:rsidRDefault="00A537FF" w:rsidP="00A537FF">
      <w:pPr>
        <w:spacing w:line="480" w:lineRule="auto"/>
        <w:jc w:val="both"/>
        <w:rPr>
          <w:rFonts w:ascii="Times New Roman" w:eastAsia="Calibri" w:hAnsi="Times New Roman" w:cs="Times New Roman"/>
          <w:sz w:val="24"/>
          <w:szCs w:val="24"/>
        </w:rPr>
      </w:pPr>
    </w:p>
    <w:p w:rsidR="00A537FF" w:rsidRPr="00A537FF" w:rsidRDefault="00A537FF" w:rsidP="00A537FF">
      <w:pPr>
        <w:spacing w:line="480" w:lineRule="auto"/>
        <w:rPr>
          <w:rFonts w:ascii="Calibri" w:eastAsia="Calibri" w:hAnsi="Calibri" w:cs="Arial"/>
          <w:sz w:val="24"/>
          <w:szCs w:val="24"/>
          <w:lang w:bidi="ar-EG"/>
        </w:rPr>
      </w:pPr>
    </w:p>
    <w:p w:rsidR="00AF348C" w:rsidRPr="00BB61B8" w:rsidRDefault="00AF348C" w:rsidP="00A537FF">
      <w:pPr>
        <w:autoSpaceDE w:val="0"/>
        <w:autoSpaceDN w:val="0"/>
        <w:adjustRightInd w:val="0"/>
        <w:spacing w:after="0" w:line="240" w:lineRule="auto"/>
      </w:pPr>
    </w:p>
    <w:sectPr w:rsidR="00AF348C" w:rsidRPr="00BB61B8" w:rsidSect="00A537F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B29" w:rsidRDefault="00C97B29" w:rsidP="00B46797">
      <w:pPr>
        <w:spacing w:after="0" w:line="240" w:lineRule="auto"/>
      </w:pPr>
      <w:r>
        <w:separator/>
      </w:r>
    </w:p>
  </w:endnote>
  <w:endnote w:type="continuationSeparator" w:id="1">
    <w:p w:rsidR="00C97B29" w:rsidRDefault="00C97B29" w:rsidP="00B467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890" w:rsidRDefault="00F948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245603"/>
      <w:docPartObj>
        <w:docPartGallery w:val="Page Numbers (Bottom of Page)"/>
        <w:docPartUnique/>
      </w:docPartObj>
    </w:sdtPr>
    <w:sdtEndPr>
      <w:rPr>
        <w:noProof/>
      </w:rPr>
    </w:sdtEndPr>
    <w:sdtContent>
      <w:p w:rsidR="00F566D2" w:rsidRDefault="00F566D2">
        <w:pPr>
          <w:pStyle w:val="Footer"/>
          <w:jc w:val="center"/>
        </w:pPr>
        <w:r>
          <w:rPr>
            <w:noProof/>
          </w:rPr>
          <w:pict>
            <v:rect id="_x0000_s4098" style="position:absolute;left:0;text-align:left;margin-left:-1.2pt;margin-top:8.75pt;width:468.75pt;height:3.75pt;z-index:251663360;mso-position-horizontal-relative:text;mso-position-vertical-relative:text" fillcolor="#1f497d [3215]" strokecolor="#1f497d [3215]"/>
          </w:pict>
        </w:r>
      </w:p>
      <w:p w:rsidR="00A537FF" w:rsidRDefault="00F566D2" w:rsidP="00F566D2">
        <w:pPr>
          <w:pStyle w:val="Footer"/>
        </w:pPr>
        <w:r>
          <w:rPr>
            <w:rFonts w:ascii="Times New Roman" w:eastAsia="Times New Roman" w:hAnsi="Times New Roman" w:cs="Times New Roman"/>
            <w:b/>
            <w:noProof/>
            <w:color w:val="000000"/>
            <w:sz w:val="24"/>
            <w:szCs w:val="24"/>
          </w:rPr>
          <w:drawing>
            <wp:anchor distT="0" distB="0" distL="114300" distR="114300" simplePos="0" relativeHeight="251665408" behindDoc="1" locked="0" layoutInCell="1" allowOverlap="1">
              <wp:simplePos x="0" y="0"/>
              <wp:positionH relativeFrom="column">
                <wp:posOffset>5067300</wp:posOffset>
              </wp:positionH>
              <wp:positionV relativeFrom="paragraph">
                <wp:posOffset>55245</wp:posOffset>
              </wp:positionV>
              <wp:extent cx="819150" cy="352425"/>
              <wp:effectExtent l="19050" t="0" r="0" b="0"/>
              <wp:wrapTight wrapText="bothSides">
                <wp:wrapPolygon edited="0">
                  <wp:start x="-502" y="0"/>
                  <wp:lineTo x="-502" y="21016"/>
                  <wp:lineTo x="21600" y="21016"/>
                  <wp:lineTo x="21600" y="0"/>
                  <wp:lineTo x="-502" y="0"/>
                </wp:wrapPolygon>
              </wp:wrapTight>
              <wp:docPr id="1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srcRect/>
                      <a:stretch>
                        <a:fillRect/>
                      </a:stretch>
                    </pic:blipFill>
                    <pic:spPr bwMode="auto">
                      <a:xfrm>
                        <a:off x="0" y="0"/>
                        <a:ext cx="819150" cy="352425"/>
                      </a:xfrm>
                      <a:prstGeom prst="rect">
                        <a:avLst/>
                      </a:prstGeom>
                      <a:noFill/>
                      <a:ln w="9525">
                        <a:noFill/>
                        <a:miter lim="800000"/>
                        <a:headEnd/>
                        <a:tailEnd/>
                      </a:ln>
                    </pic:spPr>
                  </pic:pic>
                </a:graphicData>
              </a:graphic>
            </wp:anchor>
          </w:drawing>
        </w:r>
        <w:r w:rsidRPr="00352A6A">
          <w:rPr>
            <w:rFonts w:ascii="Times New Roman" w:eastAsia="Times New Roman" w:hAnsi="Times New Roman" w:cs="Times New Roman"/>
            <w:b/>
            <w:color w:val="000000"/>
            <w:sz w:val="24"/>
            <w:szCs w:val="24"/>
          </w:rPr>
          <w:t>ScienceVier Publishing</w:t>
        </w:r>
        <w:r>
          <w:rPr>
            <w:rFonts w:ascii="Times New Roman" w:eastAsia="Times New Roman" w:hAnsi="Times New Roman" w:cs="Times New Roman"/>
            <w:b/>
            <w:color w:val="000000"/>
            <w:sz w:val="24"/>
            <w:szCs w:val="24"/>
          </w:rPr>
          <w:t xml:space="preserve">                                </w:t>
        </w:r>
        <w:r w:rsidR="004053EA">
          <w:fldChar w:fldCharType="begin"/>
        </w:r>
        <w:r w:rsidR="00A537FF">
          <w:instrText xml:space="preserve"> PAGE   \* MERGEFORMAT </w:instrText>
        </w:r>
        <w:r w:rsidR="004053EA">
          <w:fldChar w:fldCharType="separate"/>
        </w:r>
        <w:r w:rsidR="00F94890">
          <w:rPr>
            <w:noProof/>
          </w:rPr>
          <w:t>10</w:t>
        </w:r>
        <w:r w:rsidR="004053EA">
          <w:rPr>
            <w:noProof/>
          </w:rPr>
          <w:fldChar w:fldCharType="end"/>
        </w:r>
      </w:p>
    </w:sdtContent>
  </w:sdt>
  <w:p w:rsidR="00905A1B" w:rsidRDefault="00F566D2" w:rsidP="00F566D2">
    <w:pPr>
      <w:pStyle w:val="Footer"/>
      <w:tabs>
        <w:tab w:val="clear" w:pos="4680"/>
        <w:tab w:val="clear" w:pos="9360"/>
        <w:tab w:val="left" w:pos="7605"/>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890" w:rsidRDefault="00F948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B29" w:rsidRDefault="00C97B29" w:rsidP="00B46797">
      <w:pPr>
        <w:spacing w:after="0" w:line="240" w:lineRule="auto"/>
      </w:pPr>
      <w:r>
        <w:separator/>
      </w:r>
    </w:p>
  </w:footnote>
  <w:footnote w:type="continuationSeparator" w:id="1">
    <w:p w:rsidR="00C97B29" w:rsidRDefault="00C97B29" w:rsidP="00B467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890" w:rsidRDefault="00F948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6D2" w:rsidRPr="00DC7DB0" w:rsidRDefault="00F566D2" w:rsidP="00F566D2">
    <w:pPr>
      <w:pStyle w:val="Header"/>
      <w:jc w:val="center"/>
      <w:rPr>
        <w:rFonts w:ascii="Times New Roman" w:hAnsi="Times New Roman" w:cs="Times New Roman"/>
        <w:b/>
        <w:sz w:val="24"/>
        <w:szCs w:val="24"/>
      </w:rPr>
    </w:pPr>
    <w:r w:rsidRPr="00F566D2">
      <w:rPr>
        <w:noProof/>
      </w:rPr>
      <w:drawing>
        <wp:anchor distT="0" distB="0" distL="114300" distR="114300" simplePos="0" relativeHeight="251661312" behindDoc="1" locked="0" layoutInCell="1" allowOverlap="1">
          <wp:simplePos x="0" y="0"/>
          <wp:positionH relativeFrom="column">
            <wp:posOffset>5354375</wp:posOffset>
          </wp:positionH>
          <wp:positionV relativeFrom="paragraph">
            <wp:posOffset>-258417</wp:posOffset>
          </wp:positionV>
          <wp:extent cx="1141841" cy="270344"/>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168910</wp:posOffset>
          </wp:positionH>
          <wp:positionV relativeFrom="paragraph">
            <wp:posOffset>-201930</wp:posOffset>
          </wp:positionV>
          <wp:extent cx="419100" cy="37465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74650"/>
                  </a:xfrm>
                  <a:prstGeom prst="rect">
                    <a:avLst/>
                  </a:prstGeom>
                  <a:noFill/>
                </pic:spPr>
              </pic:pic>
            </a:graphicData>
          </a:graphic>
        </wp:anchor>
      </w:drawing>
    </w:r>
    <w:r>
      <w:rPr>
        <w:rFonts w:ascii="Times New Roman" w:hAnsi="Times New Roman" w:cs="Times New Roman"/>
      </w:rPr>
      <w:t xml:space="preserve">  </w:t>
    </w:r>
    <w:r w:rsidRPr="00DC7DB0">
      <w:rPr>
        <w:rFonts w:ascii="Times New Roman" w:hAnsi="Times New Roman" w:cs="Times New Roman"/>
        <w:b/>
        <w:sz w:val="24"/>
        <w:szCs w:val="24"/>
      </w:rPr>
      <w:t>International Journal of Drug Discovery and Development</w:t>
    </w:r>
  </w:p>
  <w:p w:rsidR="00F566D2" w:rsidRPr="00D0310B" w:rsidRDefault="00F566D2" w:rsidP="00F566D2">
    <w:pPr>
      <w:pStyle w:val="Header"/>
      <w:rPr>
        <w:rFonts w:ascii="Times New Roman" w:hAnsi="Times New Roman" w:cs="Times New Roman"/>
        <w:sz w:val="20"/>
        <w:szCs w:val="20"/>
      </w:rPr>
    </w:pPr>
    <w:r w:rsidRPr="00D0310B">
      <w:rPr>
        <w:rFonts w:ascii="Times New Roman" w:hAnsi="Times New Roman" w:cs="Times New Roman"/>
        <w:sz w:val="20"/>
        <w:szCs w:val="20"/>
      </w:rPr>
      <w:t>Peer Reviewed</w:t>
    </w:r>
    <w:r>
      <w:rPr>
        <w:rFonts w:ascii="Times New Roman" w:hAnsi="Times New Roman" w:cs="Times New Roman"/>
        <w:sz w:val="20"/>
        <w:szCs w:val="20"/>
      </w:rPr>
      <w:tab/>
      <w:t xml:space="preserve">            </w:t>
    </w:r>
    <w:r w:rsidR="00F94890">
      <w:rPr>
        <w:rFonts w:ascii="Times New Roman" w:hAnsi="Times New Roman" w:cs="Times New Roman"/>
        <w:sz w:val="20"/>
        <w:szCs w:val="20"/>
      </w:rPr>
      <w:t xml:space="preserve">                              </w:t>
    </w:r>
    <w:r>
      <w:rPr>
        <w:rFonts w:ascii="Times New Roman" w:hAnsi="Times New Roman" w:cs="Times New Roman"/>
        <w:sz w:val="24"/>
        <w:szCs w:val="24"/>
      </w:rPr>
      <w:t xml:space="preserve">IJDDD </w:t>
    </w:r>
    <w:r w:rsidRPr="00D42193">
      <w:rPr>
        <w:rFonts w:ascii="Times New Roman" w:hAnsi="Times New Roman" w:cs="Times New Roman"/>
        <w:sz w:val="24"/>
        <w:szCs w:val="24"/>
      </w:rPr>
      <w:t>Vol. 01, Issue. 01, No</w:t>
    </w:r>
    <w:r>
      <w:rPr>
        <w:rFonts w:ascii="Times New Roman" w:hAnsi="Times New Roman" w:cs="Times New Roman"/>
        <w:sz w:val="24"/>
        <w:szCs w:val="24"/>
      </w:rPr>
      <w:t>: 10-22</w:t>
    </w:r>
    <w:r w:rsidRPr="00D42193">
      <w:rPr>
        <w:rFonts w:ascii="Times New Roman" w:hAnsi="Times New Roman" w:cs="Times New Roman"/>
        <w:sz w:val="24"/>
        <w:szCs w:val="24"/>
      </w:rPr>
      <w:t>, 2016</w:t>
    </w:r>
  </w:p>
  <w:p w:rsidR="006A31BC" w:rsidRPr="004D12DB" w:rsidRDefault="00F408B9" w:rsidP="004D12DB">
    <w:pPr>
      <w:pStyle w:val="Header"/>
    </w:pPr>
    <w:r>
      <w:rPr>
        <w:rFonts w:ascii="Times New Roman" w:hAnsi="Times New Roman" w:cs="Times New Roman"/>
        <w:noProof/>
        <w:sz w:val="20"/>
        <w:szCs w:val="20"/>
      </w:rPr>
      <w:pict>
        <v:rect id="_x0000_s4097" style="position:absolute;margin-left:17.55pt;margin-top:5.45pt;width:459.6pt;height:3.75pt;z-index:251662336" fillcolor="#1f497d [3215]" strokecolor="#1f497d [3215]"/>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890" w:rsidRDefault="00F948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0E37"/>
    <w:multiLevelType w:val="hybridMultilevel"/>
    <w:tmpl w:val="653E5C24"/>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72294"/>
    <w:multiLevelType w:val="hybridMultilevel"/>
    <w:tmpl w:val="8626F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9174E29"/>
    <w:multiLevelType w:val="hybridMultilevel"/>
    <w:tmpl w:val="58BC94A8"/>
    <w:lvl w:ilvl="0" w:tplc="6BB09772">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FA65E9A"/>
    <w:multiLevelType w:val="hybridMultilevel"/>
    <w:tmpl w:val="7794D92E"/>
    <w:lvl w:ilvl="0" w:tplc="3D42918E">
      <w:start w:val="1"/>
      <w:numFmt w:val="decimal"/>
      <w:lvlText w:val="%1)"/>
      <w:lvlJc w:val="left"/>
      <w:pPr>
        <w:ind w:left="855" w:hanging="49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C8653D"/>
    <w:multiLevelType w:val="hybridMultilevel"/>
    <w:tmpl w:val="340AB6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D13F07"/>
    <w:multiLevelType w:val="hybridMultilevel"/>
    <w:tmpl w:val="014C05EA"/>
    <w:lvl w:ilvl="0" w:tplc="76DE9192">
      <w:start w:val="1"/>
      <w:numFmt w:val="decimal"/>
      <w:lvlText w:val="%1)"/>
      <w:lvlJc w:val="left"/>
      <w:pPr>
        <w:ind w:left="720" w:hanging="360"/>
      </w:pPr>
      <w:rPr>
        <w:rFonts w:ascii="Times" w:hAnsi="Time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3C5A79"/>
    <w:multiLevelType w:val="hybridMultilevel"/>
    <w:tmpl w:val="37D4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024519"/>
    <w:multiLevelType w:val="hybridMultilevel"/>
    <w:tmpl w:val="2B56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0770F7"/>
    <w:multiLevelType w:val="hybridMultilevel"/>
    <w:tmpl w:val="F2568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D3123E"/>
    <w:multiLevelType w:val="hybridMultilevel"/>
    <w:tmpl w:val="308AAA82"/>
    <w:lvl w:ilvl="0" w:tplc="3D42918E">
      <w:start w:val="1"/>
      <w:numFmt w:val="decimal"/>
      <w:lvlText w:val="%1)"/>
      <w:lvlJc w:val="left"/>
      <w:pPr>
        <w:ind w:left="855" w:hanging="49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6"/>
  </w:num>
  <w:num w:numId="5">
    <w:abstractNumId w:val="3"/>
  </w:num>
  <w:num w:numId="6">
    <w:abstractNumId w:val="9"/>
  </w:num>
  <w:num w:numId="7">
    <w:abstractNumId w:val="8"/>
  </w:num>
  <w:num w:numId="8">
    <w:abstractNumId w:val="2"/>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185988"/>
    <w:rsid w:val="00003CE2"/>
    <w:rsid w:val="00004431"/>
    <w:rsid w:val="0002030A"/>
    <w:rsid w:val="00020B63"/>
    <w:rsid w:val="00031489"/>
    <w:rsid w:val="00035BA9"/>
    <w:rsid w:val="00043018"/>
    <w:rsid w:val="00044D78"/>
    <w:rsid w:val="00053BB6"/>
    <w:rsid w:val="00055D10"/>
    <w:rsid w:val="000627A3"/>
    <w:rsid w:val="00063E32"/>
    <w:rsid w:val="00085F87"/>
    <w:rsid w:val="00094362"/>
    <w:rsid w:val="000B0E4D"/>
    <w:rsid w:val="000B12DF"/>
    <w:rsid w:val="000C399C"/>
    <w:rsid w:val="000C7F48"/>
    <w:rsid w:val="000D23D4"/>
    <w:rsid w:val="000D33BF"/>
    <w:rsid w:val="000D5223"/>
    <w:rsid w:val="000D7496"/>
    <w:rsid w:val="000E5BE7"/>
    <w:rsid w:val="00101EF6"/>
    <w:rsid w:val="00110EC9"/>
    <w:rsid w:val="0011422D"/>
    <w:rsid w:val="001403D2"/>
    <w:rsid w:val="0014450A"/>
    <w:rsid w:val="001748D6"/>
    <w:rsid w:val="00185988"/>
    <w:rsid w:val="00187507"/>
    <w:rsid w:val="001A4D14"/>
    <w:rsid w:val="001B2086"/>
    <w:rsid w:val="001C3291"/>
    <w:rsid w:val="001D39A0"/>
    <w:rsid w:val="001D58D1"/>
    <w:rsid w:val="001E07D4"/>
    <w:rsid w:val="001F4D2F"/>
    <w:rsid w:val="001F5461"/>
    <w:rsid w:val="001F5E49"/>
    <w:rsid w:val="001F74F7"/>
    <w:rsid w:val="00202518"/>
    <w:rsid w:val="00203613"/>
    <w:rsid w:val="002116F5"/>
    <w:rsid w:val="002256B4"/>
    <w:rsid w:val="00237B66"/>
    <w:rsid w:val="00262B13"/>
    <w:rsid w:val="00264BB5"/>
    <w:rsid w:val="00280A65"/>
    <w:rsid w:val="002912DB"/>
    <w:rsid w:val="00296D7F"/>
    <w:rsid w:val="002A2612"/>
    <w:rsid w:val="002B0BBD"/>
    <w:rsid w:val="002B52A1"/>
    <w:rsid w:val="002D33FA"/>
    <w:rsid w:val="002E4BCA"/>
    <w:rsid w:val="002E5E95"/>
    <w:rsid w:val="00313E05"/>
    <w:rsid w:val="00317BD3"/>
    <w:rsid w:val="00320F42"/>
    <w:rsid w:val="00322F42"/>
    <w:rsid w:val="00327225"/>
    <w:rsid w:val="00331655"/>
    <w:rsid w:val="00335193"/>
    <w:rsid w:val="00335B39"/>
    <w:rsid w:val="00341C09"/>
    <w:rsid w:val="003503EF"/>
    <w:rsid w:val="0035461F"/>
    <w:rsid w:val="00362218"/>
    <w:rsid w:val="003A0CF4"/>
    <w:rsid w:val="003B6B37"/>
    <w:rsid w:val="003C6E25"/>
    <w:rsid w:val="003E04A6"/>
    <w:rsid w:val="003F5722"/>
    <w:rsid w:val="003F6D75"/>
    <w:rsid w:val="004053EA"/>
    <w:rsid w:val="00415CCA"/>
    <w:rsid w:val="00424809"/>
    <w:rsid w:val="00443E4E"/>
    <w:rsid w:val="00445DDD"/>
    <w:rsid w:val="00470DCA"/>
    <w:rsid w:val="0047644B"/>
    <w:rsid w:val="004859E0"/>
    <w:rsid w:val="00492098"/>
    <w:rsid w:val="00493037"/>
    <w:rsid w:val="004C6D35"/>
    <w:rsid w:val="004C790E"/>
    <w:rsid w:val="004D12DB"/>
    <w:rsid w:val="004F187F"/>
    <w:rsid w:val="004F21B2"/>
    <w:rsid w:val="00543F2F"/>
    <w:rsid w:val="005440E9"/>
    <w:rsid w:val="005455CB"/>
    <w:rsid w:val="00547AE6"/>
    <w:rsid w:val="00554E66"/>
    <w:rsid w:val="00563DFF"/>
    <w:rsid w:val="005728AC"/>
    <w:rsid w:val="0057303F"/>
    <w:rsid w:val="00582EA0"/>
    <w:rsid w:val="005938BF"/>
    <w:rsid w:val="005B2EE9"/>
    <w:rsid w:val="005B5C52"/>
    <w:rsid w:val="005B6DEF"/>
    <w:rsid w:val="005B794D"/>
    <w:rsid w:val="005C21F6"/>
    <w:rsid w:val="005D07D0"/>
    <w:rsid w:val="005F17DE"/>
    <w:rsid w:val="00630937"/>
    <w:rsid w:val="00644B00"/>
    <w:rsid w:val="006516BD"/>
    <w:rsid w:val="0066572C"/>
    <w:rsid w:val="006660FB"/>
    <w:rsid w:val="00675BF5"/>
    <w:rsid w:val="0068139E"/>
    <w:rsid w:val="00682A98"/>
    <w:rsid w:val="0068536D"/>
    <w:rsid w:val="006A31BC"/>
    <w:rsid w:val="006A4C91"/>
    <w:rsid w:val="006F24B5"/>
    <w:rsid w:val="006F3FB2"/>
    <w:rsid w:val="006F5C22"/>
    <w:rsid w:val="0071046E"/>
    <w:rsid w:val="0071573A"/>
    <w:rsid w:val="007202C6"/>
    <w:rsid w:val="0073153A"/>
    <w:rsid w:val="00741E95"/>
    <w:rsid w:val="00757308"/>
    <w:rsid w:val="007845AF"/>
    <w:rsid w:val="007919D2"/>
    <w:rsid w:val="007965F4"/>
    <w:rsid w:val="007B65EC"/>
    <w:rsid w:val="007B7C1B"/>
    <w:rsid w:val="007C53C8"/>
    <w:rsid w:val="007D47BD"/>
    <w:rsid w:val="007D4F2A"/>
    <w:rsid w:val="007D6BF5"/>
    <w:rsid w:val="007E499C"/>
    <w:rsid w:val="007F0318"/>
    <w:rsid w:val="007F17DE"/>
    <w:rsid w:val="007F1B1D"/>
    <w:rsid w:val="00804B26"/>
    <w:rsid w:val="00806929"/>
    <w:rsid w:val="00812454"/>
    <w:rsid w:val="00830CA8"/>
    <w:rsid w:val="008351BB"/>
    <w:rsid w:val="008409EA"/>
    <w:rsid w:val="00840B6C"/>
    <w:rsid w:val="0085796E"/>
    <w:rsid w:val="00862343"/>
    <w:rsid w:val="0087106A"/>
    <w:rsid w:val="0087777A"/>
    <w:rsid w:val="00886A5A"/>
    <w:rsid w:val="00894D62"/>
    <w:rsid w:val="008C4CD5"/>
    <w:rsid w:val="008D2774"/>
    <w:rsid w:val="008E626B"/>
    <w:rsid w:val="008F025C"/>
    <w:rsid w:val="008F71A8"/>
    <w:rsid w:val="00902B84"/>
    <w:rsid w:val="00905A1B"/>
    <w:rsid w:val="00913944"/>
    <w:rsid w:val="00926312"/>
    <w:rsid w:val="0093112E"/>
    <w:rsid w:val="009360EC"/>
    <w:rsid w:val="00945827"/>
    <w:rsid w:val="0095194F"/>
    <w:rsid w:val="00952720"/>
    <w:rsid w:val="009B7D5B"/>
    <w:rsid w:val="009D53FA"/>
    <w:rsid w:val="009D591B"/>
    <w:rsid w:val="009E011B"/>
    <w:rsid w:val="009E4422"/>
    <w:rsid w:val="009F5FE2"/>
    <w:rsid w:val="00A1224B"/>
    <w:rsid w:val="00A146C2"/>
    <w:rsid w:val="00A26DB0"/>
    <w:rsid w:val="00A537FF"/>
    <w:rsid w:val="00A553AD"/>
    <w:rsid w:val="00A57A90"/>
    <w:rsid w:val="00A76667"/>
    <w:rsid w:val="00AA0174"/>
    <w:rsid w:val="00AB2C33"/>
    <w:rsid w:val="00AB4F92"/>
    <w:rsid w:val="00AD33F9"/>
    <w:rsid w:val="00AD369A"/>
    <w:rsid w:val="00AD5038"/>
    <w:rsid w:val="00AD527B"/>
    <w:rsid w:val="00AD65FE"/>
    <w:rsid w:val="00AF05B6"/>
    <w:rsid w:val="00AF348C"/>
    <w:rsid w:val="00B06B19"/>
    <w:rsid w:val="00B14F8A"/>
    <w:rsid w:val="00B222A7"/>
    <w:rsid w:val="00B338ED"/>
    <w:rsid w:val="00B35F63"/>
    <w:rsid w:val="00B360A6"/>
    <w:rsid w:val="00B36D53"/>
    <w:rsid w:val="00B40E94"/>
    <w:rsid w:val="00B44E17"/>
    <w:rsid w:val="00B4606E"/>
    <w:rsid w:val="00B46797"/>
    <w:rsid w:val="00B67EC0"/>
    <w:rsid w:val="00B773FF"/>
    <w:rsid w:val="00B91628"/>
    <w:rsid w:val="00B93F23"/>
    <w:rsid w:val="00BA3418"/>
    <w:rsid w:val="00BA63B8"/>
    <w:rsid w:val="00BB0C87"/>
    <w:rsid w:val="00BB61B8"/>
    <w:rsid w:val="00BB6D02"/>
    <w:rsid w:val="00BE15D6"/>
    <w:rsid w:val="00BF014C"/>
    <w:rsid w:val="00C00AE2"/>
    <w:rsid w:val="00C01EDB"/>
    <w:rsid w:val="00C24EE7"/>
    <w:rsid w:val="00C27731"/>
    <w:rsid w:val="00C340DC"/>
    <w:rsid w:val="00C44660"/>
    <w:rsid w:val="00C521FE"/>
    <w:rsid w:val="00C5389A"/>
    <w:rsid w:val="00C620C4"/>
    <w:rsid w:val="00C6787F"/>
    <w:rsid w:val="00C80330"/>
    <w:rsid w:val="00C8540A"/>
    <w:rsid w:val="00C86AC2"/>
    <w:rsid w:val="00C91B24"/>
    <w:rsid w:val="00C97B29"/>
    <w:rsid w:val="00CB7865"/>
    <w:rsid w:val="00CC1F9B"/>
    <w:rsid w:val="00CD18C3"/>
    <w:rsid w:val="00CE1E3E"/>
    <w:rsid w:val="00CE56DA"/>
    <w:rsid w:val="00CE751F"/>
    <w:rsid w:val="00D14802"/>
    <w:rsid w:val="00D23C82"/>
    <w:rsid w:val="00D428C0"/>
    <w:rsid w:val="00D60F5B"/>
    <w:rsid w:val="00D702FB"/>
    <w:rsid w:val="00D7367F"/>
    <w:rsid w:val="00D96D82"/>
    <w:rsid w:val="00DB03DF"/>
    <w:rsid w:val="00DB622B"/>
    <w:rsid w:val="00DD79A9"/>
    <w:rsid w:val="00DE0DEF"/>
    <w:rsid w:val="00DE38B6"/>
    <w:rsid w:val="00DE6299"/>
    <w:rsid w:val="00DE681D"/>
    <w:rsid w:val="00E01703"/>
    <w:rsid w:val="00E25378"/>
    <w:rsid w:val="00E37DB9"/>
    <w:rsid w:val="00E64B1F"/>
    <w:rsid w:val="00E665C2"/>
    <w:rsid w:val="00E67013"/>
    <w:rsid w:val="00E72597"/>
    <w:rsid w:val="00E77ED3"/>
    <w:rsid w:val="00E81DD7"/>
    <w:rsid w:val="00E9010C"/>
    <w:rsid w:val="00E94EF8"/>
    <w:rsid w:val="00EB264F"/>
    <w:rsid w:val="00EB4F46"/>
    <w:rsid w:val="00ED72C4"/>
    <w:rsid w:val="00EF6B17"/>
    <w:rsid w:val="00F019D3"/>
    <w:rsid w:val="00F10C29"/>
    <w:rsid w:val="00F145B6"/>
    <w:rsid w:val="00F14ECF"/>
    <w:rsid w:val="00F33B92"/>
    <w:rsid w:val="00F408B9"/>
    <w:rsid w:val="00F566D2"/>
    <w:rsid w:val="00F77E45"/>
    <w:rsid w:val="00F87BA5"/>
    <w:rsid w:val="00F91B0F"/>
    <w:rsid w:val="00F93061"/>
    <w:rsid w:val="00F94890"/>
    <w:rsid w:val="00F94AD1"/>
    <w:rsid w:val="00FB1D48"/>
    <w:rsid w:val="00FC5B82"/>
    <w:rsid w:val="00FC7F6D"/>
    <w:rsid w:val="00FD6F1F"/>
    <w:rsid w:val="00FF38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6B4"/>
  </w:style>
  <w:style w:type="paragraph" w:styleId="Heading1">
    <w:name w:val="heading 1"/>
    <w:basedOn w:val="Normal"/>
    <w:link w:val="Heading1Char"/>
    <w:uiPriority w:val="9"/>
    <w:qFormat/>
    <w:rsid w:val="000314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8AC"/>
    <w:rPr>
      <w:color w:val="0000FF"/>
      <w:u w:val="single"/>
    </w:rPr>
  </w:style>
  <w:style w:type="character" w:customStyle="1" w:styleId="jrnl">
    <w:name w:val="jrnl"/>
    <w:basedOn w:val="DefaultParagraphFont"/>
    <w:rsid w:val="00203613"/>
  </w:style>
  <w:style w:type="character" w:customStyle="1" w:styleId="Heading1Char">
    <w:name w:val="Heading 1 Char"/>
    <w:basedOn w:val="DefaultParagraphFont"/>
    <w:link w:val="Heading1"/>
    <w:uiPriority w:val="9"/>
    <w:rsid w:val="00031489"/>
    <w:rPr>
      <w:rFonts w:ascii="Times New Roman" w:eastAsia="Times New Roman" w:hAnsi="Times New Roman" w:cs="Times New Roman"/>
      <w:b/>
      <w:bCs/>
      <w:kern w:val="36"/>
      <w:sz w:val="48"/>
      <w:szCs w:val="48"/>
    </w:rPr>
  </w:style>
  <w:style w:type="character" w:customStyle="1" w:styleId="highlight">
    <w:name w:val="highlight"/>
    <w:basedOn w:val="DefaultParagraphFont"/>
    <w:rsid w:val="00031489"/>
  </w:style>
  <w:style w:type="paragraph" w:styleId="ListParagraph">
    <w:name w:val="List Paragraph"/>
    <w:basedOn w:val="Normal"/>
    <w:uiPriority w:val="34"/>
    <w:qFormat/>
    <w:rsid w:val="00031489"/>
    <w:pPr>
      <w:ind w:left="720"/>
      <w:contextualSpacing/>
    </w:pPr>
  </w:style>
  <w:style w:type="paragraph" w:styleId="BalloonText">
    <w:name w:val="Balloon Text"/>
    <w:basedOn w:val="Normal"/>
    <w:link w:val="BalloonTextChar"/>
    <w:uiPriority w:val="99"/>
    <w:semiHidden/>
    <w:unhideWhenUsed/>
    <w:rsid w:val="00862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343"/>
    <w:rPr>
      <w:rFonts w:ascii="Tahoma" w:hAnsi="Tahoma" w:cs="Tahoma"/>
      <w:sz w:val="16"/>
      <w:szCs w:val="16"/>
    </w:rPr>
  </w:style>
  <w:style w:type="paragraph" w:styleId="NoSpacing">
    <w:name w:val="No Spacing"/>
    <w:link w:val="NoSpacingChar"/>
    <w:uiPriority w:val="1"/>
    <w:qFormat/>
    <w:rsid w:val="00B46797"/>
    <w:pPr>
      <w:spacing w:after="0" w:line="240" w:lineRule="auto"/>
    </w:pPr>
  </w:style>
  <w:style w:type="paragraph" w:styleId="Header">
    <w:name w:val="header"/>
    <w:basedOn w:val="Normal"/>
    <w:link w:val="HeaderChar"/>
    <w:uiPriority w:val="99"/>
    <w:unhideWhenUsed/>
    <w:rsid w:val="00B46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797"/>
  </w:style>
  <w:style w:type="paragraph" w:styleId="Footer">
    <w:name w:val="footer"/>
    <w:basedOn w:val="Normal"/>
    <w:link w:val="FooterChar"/>
    <w:uiPriority w:val="99"/>
    <w:unhideWhenUsed/>
    <w:rsid w:val="00B467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797"/>
  </w:style>
  <w:style w:type="character" w:customStyle="1" w:styleId="NoSpacingChar">
    <w:name w:val="No Spacing Char"/>
    <w:basedOn w:val="DefaultParagraphFont"/>
    <w:link w:val="NoSpacing"/>
    <w:uiPriority w:val="1"/>
    <w:rsid w:val="0057303F"/>
  </w:style>
  <w:style w:type="paragraph" w:styleId="NormalWeb">
    <w:name w:val="Normal (Web)"/>
    <w:basedOn w:val="Normal"/>
    <w:uiPriority w:val="99"/>
    <w:unhideWhenUsed/>
    <w:rsid w:val="005730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331655"/>
    <w:rPr>
      <w:color w:val="800080" w:themeColor="followedHyperlink"/>
      <w:u w:val="single"/>
    </w:rPr>
  </w:style>
  <w:style w:type="character" w:styleId="CommentReference">
    <w:name w:val="annotation reference"/>
    <w:basedOn w:val="DefaultParagraphFont"/>
    <w:uiPriority w:val="99"/>
    <w:semiHidden/>
    <w:unhideWhenUsed/>
    <w:rsid w:val="00E64B1F"/>
    <w:rPr>
      <w:sz w:val="16"/>
      <w:szCs w:val="16"/>
    </w:rPr>
  </w:style>
  <w:style w:type="paragraph" w:styleId="CommentText">
    <w:name w:val="annotation text"/>
    <w:basedOn w:val="Normal"/>
    <w:link w:val="CommentTextChar"/>
    <w:uiPriority w:val="99"/>
    <w:semiHidden/>
    <w:unhideWhenUsed/>
    <w:rsid w:val="00E64B1F"/>
    <w:pPr>
      <w:spacing w:line="240" w:lineRule="auto"/>
    </w:pPr>
    <w:rPr>
      <w:sz w:val="20"/>
      <w:szCs w:val="20"/>
    </w:rPr>
  </w:style>
  <w:style w:type="character" w:customStyle="1" w:styleId="CommentTextChar">
    <w:name w:val="Comment Text Char"/>
    <w:basedOn w:val="DefaultParagraphFont"/>
    <w:link w:val="CommentText"/>
    <w:uiPriority w:val="99"/>
    <w:semiHidden/>
    <w:rsid w:val="00E64B1F"/>
    <w:rPr>
      <w:sz w:val="20"/>
      <w:szCs w:val="20"/>
    </w:rPr>
  </w:style>
  <w:style w:type="paragraph" w:styleId="CommentSubject">
    <w:name w:val="annotation subject"/>
    <w:basedOn w:val="CommentText"/>
    <w:next w:val="CommentText"/>
    <w:link w:val="CommentSubjectChar"/>
    <w:uiPriority w:val="99"/>
    <w:semiHidden/>
    <w:unhideWhenUsed/>
    <w:rsid w:val="00E64B1F"/>
    <w:rPr>
      <w:b/>
      <w:bCs/>
    </w:rPr>
  </w:style>
  <w:style w:type="character" w:customStyle="1" w:styleId="CommentSubjectChar">
    <w:name w:val="Comment Subject Char"/>
    <w:basedOn w:val="CommentTextChar"/>
    <w:link w:val="CommentSubject"/>
    <w:uiPriority w:val="99"/>
    <w:semiHidden/>
    <w:rsid w:val="00E64B1F"/>
    <w:rPr>
      <w:b/>
      <w:bCs/>
      <w:sz w:val="20"/>
      <w:szCs w:val="20"/>
    </w:rPr>
  </w:style>
  <w:style w:type="character" w:customStyle="1" w:styleId="apple-converted-space">
    <w:name w:val="apple-converted-space"/>
    <w:basedOn w:val="DefaultParagraphFont"/>
    <w:rsid w:val="009E4422"/>
  </w:style>
  <w:style w:type="character" w:styleId="Emphasis">
    <w:name w:val="Emphasis"/>
    <w:basedOn w:val="DefaultParagraphFont"/>
    <w:uiPriority w:val="20"/>
    <w:qFormat/>
    <w:rsid w:val="007919D2"/>
    <w:rPr>
      <w:i/>
      <w:iCs/>
    </w:rPr>
  </w:style>
  <w:style w:type="character" w:customStyle="1" w:styleId="ref-journal">
    <w:name w:val="ref-journal"/>
    <w:basedOn w:val="DefaultParagraphFont"/>
    <w:rsid w:val="005B2EE9"/>
  </w:style>
  <w:style w:type="character" w:customStyle="1" w:styleId="ref-vol">
    <w:name w:val="ref-vol"/>
    <w:basedOn w:val="DefaultParagraphFont"/>
    <w:rsid w:val="005B2EE9"/>
  </w:style>
  <w:style w:type="numbering" w:customStyle="1" w:styleId="NoList1">
    <w:name w:val="No List1"/>
    <w:next w:val="NoList"/>
    <w:uiPriority w:val="99"/>
    <w:semiHidden/>
    <w:unhideWhenUsed/>
    <w:rsid w:val="00A537FF"/>
  </w:style>
  <w:style w:type="character" w:customStyle="1" w:styleId="Picturecaption">
    <w:name w:val="Picture caption_"/>
    <w:link w:val="Picturecaption0"/>
    <w:rsid w:val="00A537F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A537FF"/>
    <w:pPr>
      <w:widowControl w:val="0"/>
      <w:shd w:val="clear" w:color="auto" w:fill="FFFFFF"/>
      <w:spacing w:after="60" w:line="0" w:lineRule="atLeast"/>
      <w:jc w:val="center"/>
    </w:pPr>
    <w:rPr>
      <w:rFonts w:ascii="Times New Roman" w:eastAsia="Times New Roman" w:hAnsi="Times New Roman" w:cs="Times New Roman"/>
    </w:rPr>
  </w:style>
  <w:style w:type="paragraph" w:customStyle="1" w:styleId="ColorfulList-Accent11">
    <w:name w:val="Colorful List - Accent 11"/>
    <w:basedOn w:val="Normal"/>
    <w:uiPriority w:val="34"/>
    <w:qFormat/>
    <w:rsid w:val="00A537FF"/>
    <w:pPr>
      <w:bidi/>
      <w:ind w:left="720"/>
      <w:contextualSpacing/>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6B4"/>
  </w:style>
  <w:style w:type="paragraph" w:styleId="Heading1">
    <w:name w:val="heading 1"/>
    <w:basedOn w:val="Normal"/>
    <w:link w:val="Heading1Char"/>
    <w:uiPriority w:val="9"/>
    <w:qFormat/>
    <w:rsid w:val="000314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8AC"/>
    <w:rPr>
      <w:color w:val="0000FF"/>
      <w:u w:val="single"/>
    </w:rPr>
  </w:style>
  <w:style w:type="character" w:customStyle="1" w:styleId="jrnl">
    <w:name w:val="jrnl"/>
    <w:basedOn w:val="DefaultParagraphFont"/>
    <w:rsid w:val="00203613"/>
  </w:style>
  <w:style w:type="character" w:customStyle="1" w:styleId="Heading1Char">
    <w:name w:val="Heading 1 Char"/>
    <w:basedOn w:val="DefaultParagraphFont"/>
    <w:link w:val="Heading1"/>
    <w:uiPriority w:val="9"/>
    <w:rsid w:val="00031489"/>
    <w:rPr>
      <w:rFonts w:ascii="Times New Roman" w:eastAsia="Times New Roman" w:hAnsi="Times New Roman" w:cs="Times New Roman"/>
      <w:b/>
      <w:bCs/>
      <w:kern w:val="36"/>
      <w:sz w:val="48"/>
      <w:szCs w:val="48"/>
    </w:rPr>
  </w:style>
  <w:style w:type="character" w:customStyle="1" w:styleId="highlight">
    <w:name w:val="highlight"/>
    <w:basedOn w:val="DefaultParagraphFont"/>
    <w:rsid w:val="00031489"/>
  </w:style>
  <w:style w:type="paragraph" w:styleId="ListParagraph">
    <w:name w:val="List Paragraph"/>
    <w:basedOn w:val="Normal"/>
    <w:uiPriority w:val="34"/>
    <w:qFormat/>
    <w:rsid w:val="00031489"/>
    <w:pPr>
      <w:ind w:left="720"/>
      <w:contextualSpacing/>
    </w:pPr>
  </w:style>
  <w:style w:type="paragraph" w:styleId="BalloonText">
    <w:name w:val="Balloon Text"/>
    <w:basedOn w:val="Normal"/>
    <w:link w:val="BalloonTextChar"/>
    <w:uiPriority w:val="99"/>
    <w:semiHidden/>
    <w:unhideWhenUsed/>
    <w:rsid w:val="00862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343"/>
    <w:rPr>
      <w:rFonts w:ascii="Tahoma" w:hAnsi="Tahoma" w:cs="Tahoma"/>
      <w:sz w:val="16"/>
      <w:szCs w:val="16"/>
    </w:rPr>
  </w:style>
  <w:style w:type="paragraph" w:styleId="NoSpacing">
    <w:name w:val="No Spacing"/>
    <w:link w:val="NoSpacingChar"/>
    <w:uiPriority w:val="1"/>
    <w:qFormat/>
    <w:rsid w:val="00B46797"/>
    <w:pPr>
      <w:spacing w:after="0" w:line="240" w:lineRule="auto"/>
    </w:pPr>
  </w:style>
  <w:style w:type="paragraph" w:styleId="Header">
    <w:name w:val="header"/>
    <w:basedOn w:val="Normal"/>
    <w:link w:val="HeaderChar"/>
    <w:uiPriority w:val="99"/>
    <w:unhideWhenUsed/>
    <w:rsid w:val="00B46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797"/>
  </w:style>
  <w:style w:type="paragraph" w:styleId="Footer">
    <w:name w:val="footer"/>
    <w:basedOn w:val="Normal"/>
    <w:link w:val="FooterChar"/>
    <w:uiPriority w:val="99"/>
    <w:unhideWhenUsed/>
    <w:rsid w:val="00B467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797"/>
  </w:style>
  <w:style w:type="character" w:customStyle="1" w:styleId="NoSpacingChar">
    <w:name w:val="No Spacing Char"/>
    <w:basedOn w:val="DefaultParagraphFont"/>
    <w:link w:val="NoSpacing"/>
    <w:uiPriority w:val="1"/>
    <w:rsid w:val="0057303F"/>
  </w:style>
  <w:style w:type="paragraph" w:styleId="NormalWeb">
    <w:name w:val="Normal (Web)"/>
    <w:basedOn w:val="Normal"/>
    <w:uiPriority w:val="99"/>
    <w:unhideWhenUsed/>
    <w:rsid w:val="005730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331655"/>
    <w:rPr>
      <w:color w:val="800080" w:themeColor="followedHyperlink"/>
      <w:u w:val="single"/>
    </w:rPr>
  </w:style>
  <w:style w:type="character" w:styleId="CommentReference">
    <w:name w:val="annotation reference"/>
    <w:basedOn w:val="DefaultParagraphFont"/>
    <w:uiPriority w:val="99"/>
    <w:semiHidden/>
    <w:unhideWhenUsed/>
    <w:rsid w:val="00E64B1F"/>
    <w:rPr>
      <w:sz w:val="16"/>
      <w:szCs w:val="16"/>
    </w:rPr>
  </w:style>
  <w:style w:type="paragraph" w:styleId="CommentText">
    <w:name w:val="annotation text"/>
    <w:basedOn w:val="Normal"/>
    <w:link w:val="CommentTextChar"/>
    <w:uiPriority w:val="99"/>
    <w:semiHidden/>
    <w:unhideWhenUsed/>
    <w:rsid w:val="00E64B1F"/>
    <w:pPr>
      <w:spacing w:line="240" w:lineRule="auto"/>
    </w:pPr>
    <w:rPr>
      <w:sz w:val="20"/>
      <w:szCs w:val="20"/>
    </w:rPr>
  </w:style>
  <w:style w:type="character" w:customStyle="1" w:styleId="CommentTextChar">
    <w:name w:val="Comment Text Char"/>
    <w:basedOn w:val="DefaultParagraphFont"/>
    <w:link w:val="CommentText"/>
    <w:uiPriority w:val="99"/>
    <w:semiHidden/>
    <w:rsid w:val="00E64B1F"/>
    <w:rPr>
      <w:sz w:val="20"/>
      <w:szCs w:val="20"/>
    </w:rPr>
  </w:style>
  <w:style w:type="paragraph" w:styleId="CommentSubject">
    <w:name w:val="annotation subject"/>
    <w:basedOn w:val="CommentText"/>
    <w:next w:val="CommentText"/>
    <w:link w:val="CommentSubjectChar"/>
    <w:uiPriority w:val="99"/>
    <w:semiHidden/>
    <w:unhideWhenUsed/>
    <w:rsid w:val="00E64B1F"/>
    <w:rPr>
      <w:b/>
      <w:bCs/>
    </w:rPr>
  </w:style>
  <w:style w:type="character" w:customStyle="1" w:styleId="CommentSubjectChar">
    <w:name w:val="Comment Subject Char"/>
    <w:basedOn w:val="CommentTextChar"/>
    <w:link w:val="CommentSubject"/>
    <w:uiPriority w:val="99"/>
    <w:semiHidden/>
    <w:rsid w:val="00E64B1F"/>
    <w:rPr>
      <w:b/>
      <w:bCs/>
      <w:sz w:val="20"/>
      <w:szCs w:val="20"/>
    </w:rPr>
  </w:style>
  <w:style w:type="character" w:customStyle="1" w:styleId="apple-converted-space">
    <w:name w:val="apple-converted-space"/>
    <w:basedOn w:val="DefaultParagraphFont"/>
    <w:rsid w:val="009E4422"/>
  </w:style>
  <w:style w:type="character" w:styleId="Emphasis">
    <w:name w:val="Emphasis"/>
    <w:basedOn w:val="DefaultParagraphFont"/>
    <w:uiPriority w:val="20"/>
    <w:qFormat/>
    <w:rsid w:val="007919D2"/>
    <w:rPr>
      <w:i/>
      <w:iCs/>
    </w:rPr>
  </w:style>
  <w:style w:type="character" w:customStyle="1" w:styleId="ref-journal">
    <w:name w:val="ref-journal"/>
    <w:basedOn w:val="DefaultParagraphFont"/>
    <w:rsid w:val="005B2EE9"/>
  </w:style>
  <w:style w:type="character" w:customStyle="1" w:styleId="ref-vol">
    <w:name w:val="ref-vol"/>
    <w:basedOn w:val="DefaultParagraphFont"/>
    <w:rsid w:val="005B2EE9"/>
  </w:style>
  <w:style w:type="numbering" w:customStyle="1" w:styleId="NoList1">
    <w:name w:val="No List1"/>
    <w:next w:val="NoList"/>
    <w:uiPriority w:val="99"/>
    <w:semiHidden/>
    <w:unhideWhenUsed/>
    <w:rsid w:val="00A537FF"/>
  </w:style>
  <w:style w:type="character" w:customStyle="1" w:styleId="Picturecaption">
    <w:name w:val="Picture caption_"/>
    <w:link w:val="Picturecaption0"/>
    <w:rsid w:val="00A537F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A537FF"/>
    <w:pPr>
      <w:widowControl w:val="0"/>
      <w:shd w:val="clear" w:color="auto" w:fill="FFFFFF"/>
      <w:spacing w:after="60" w:line="0" w:lineRule="atLeast"/>
      <w:jc w:val="center"/>
    </w:pPr>
    <w:rPr>
      <w:rFonts w:ascii="Times New Roman" w:eastAsia="Times New Roman" w:hAnsi="Times New Roman" w:cs="Times New Roman"/>
    </w:rPr>
  </w:style>
  <w:style w:type="paragraph" w:customStyle="1" w:styleId="ColorfulList-Accent11">
    <w:name w:val="Colorful List - Accent 11"/>
    <w:basedOn w:val="Normal"/>
    <w:uiPriority w:val="34"/>
    <w:qFormat/>
    <w:rsid w:val="00A537FF"/>
    <w:pPr>
      <w:bidi/>
      <w:ind w:left="720"/>
      <w:contextualSpacing/>
    </w:pPr>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divs>
    <w:div w:id="6174141">
      <w:bodyDiv w:val="1"/>
      <w:marLeft w:val="0"/>
      <w:marRight w:val="0"/>
      <w:marTop w:val="0"/>
      <w:marBottom w:val="0"/>
      <w:divBdr>
        <w:top w:val="none" w:sz="0" w:space="0" w:color="auto"/>
        <w:left w:val="none" w:sz="0" w:space="0" w:color="auto"/>
        <w:bottom w:val="none" w:sz="0" w:space="0" w:color="auto"/>
        <w:right w:val="none" w:sz="0" w:space="0" w:color="auto"/>
      </w:divBdr>
    </w:div>
    <w:div w:id="222522040">
      <w:bodyDiv w:val="1"/>
      <w:marLeft w:val="0"/>
      <w:marRight w:val="0"/>
      <w:marTop w:val="0"/>
      <w:marBottom w:val="0"/>
      <w:divBdr>
        <w:top w:val="none" w:sz="0" w:space="0" w:color="auto"/>
        <w:left w:val="none" w:sz="0" w:space="0" w:color="auto"/>
        <w:bottom w:val="none" w:sz="0" w:space="0" w:color="auto"/>
        <w:right w:val="none" w:sz="0" w:space="0" w:color="auto"/>
      </w:divBdr>
    </w:div>
    <w:div w:id="258635854">
      <w:bodyDiv w:val="1"/>
      <w:marLeft w:val="0"/>
      <w:marRight w:val="0"/>
      <w:marTop w:val="0"/>
      <w:marBottom w:val="0"/>
      <w:divBdr>
        <w:top w:val="none" w:sz="0" w:space="0" w:color="auto"/>
        <w:left w:val="none" w:sz="0" w:space="0" w:color="auto"/>
        <w:bottom w:val="none" w:sz="0" w:space="0" w:color="auto"/>
        <w:right w:val="none" w:sz="0" w:space="0" w:color="auto"/>
      </w:divBdr>
    </w:div>
    <w:div w:id="465316703">
      <w:bodyDiv w:val="1"/>
      <w:marLeft w:val="0"/>
      <w:marRight w:val="0"/>
      <w:marTop w:val="0"/>
      <w:marBottom w:val="0"/>
      <w:divBdr>
        <w:top w:val="none" w:sz="0" w:space="0" w:color="auto"/>
        <w:left w:val="none" w:sz="0" w:space="0" w:color="auto"/>
        <w:bottom w:val="none" w:sz="0" w:space="0" w:color="auto"/>
        <w:right w:val="none" w:sz="0" w:space="0" w:color="auto"/>
      </w:divBdr>
    </w:div>
    <w:div w:id="543297892">
      <w:bodyDiv w:val="1"/>
      <w:marLeft w:val="0"/>
      <w:marRight w:val="0"/>
      <w:marTop w:val="0"/>
      <w:marBottom w:val="0"/>
      <w:divBdr>
        <w:top w:val="none" w:sz="0" w:space="0" w:color="auto"/>
        <w:left w:val="none" w:sz="0" w:space="0" w:color="auto"/>
        <w:bottom w:val="none" w:sz="0" w:space="0" w:color="auto"/>
        <w:right w:val="none" w:sz="0" w:space="0" w:color="auto"/>
      </w:divBdr>
    </w:div>
    <w:div w:id="655765431">
      <w:bodyDiv w:val="1"/>
      <w:marLeft w:val="0"/>
      <w:marRight w:val="0"/>
      <w:marTop w:val="0"/>
      <w:marBottom w:val="0"/>
      <w:divBdr>
        <w:top w:val="none" w:sz="0" w:space="0" w:color="auto"/>
        <w:left w:val="none" w:sz="0" w:space="0" w:color="auto"/>
        <w:bottom w:val="none" w:sz="0" w:space="0" w:color="auto"/>
        <w:right w:val="none" w:sz="0" w:space="0" w:color="auto"/>
      </w:divBdr>
    </w:div>
    <w:div w:id="674917158">
      <w:bodyDiv w:val="1"/>
      <w:marLeft w:val="0"/>
      <w:marRight w:val="0"/>
      <w:marTop w:val="0"/>
      <w:marBottom w:val="0"/>
      <w:divBdr>
        <w:top w:val="none" w:sz="0" w:space="0" w:color="auto"/>
        <w:left w:val="none" w:sz="0" w:space="0" w:color="auto"/>
        <w:bottom w:val="none" w:sz="0" w:space="0" w:color="auto"/>
        <w:right w:val="none" w:sz="0" w:space="0" w:color="auto"/>
      </w:divBdr>
    </w:div>
    <w:div w:id="844907436">
      <w:bodyDiv w:val="1"/>
      <w:marLeft w:val="0"/>
      <w:marRight w:val="0"/>
      <w:marTop w:val="0"/>
      <w:marBottom w:val="0"/>
      <w:divBdr>
        <w:top w:val="none" w:sz="0" w:space="0" w:color="auto"/>
        <w:left w:val="none" w:sz="0" w:space="0" w:color="auto"/>
        <w:bottom w:val="none" w:sz="0" w:space="0" w:color="auto"/>
        <w:right w:val="none" w:sz="0" w:space="0" w:color="auto"/>
      </w:divBdr>
    </w:div>
    <w:div w:id="855730356">
      <w:bodyDiv w:val="1"/>
      <w:marLeft w:val="0"/>
      <w:marRight w:val="0"/>
      <w:marTop w:val="0"/>
      <w:marBottom w:val="0"/>
      <w:divBdr>
        <w:top w:val="none" w:sz="0" w:space="0" w:color="auto"/>
        <w:left w:val="none" w:sz="0" w:space="0" w:color="auto"/>
        <w:bottom w:val="none" w:sz="0" w:space="0" w:color="auto"/>
        <w:right w:val="none" w:sz="0" w:space="0" w:color="auto"/>
      </w:divBdr>
    </w:div>
    <w:div w:id="944120799">
      <w:bodyDiv w:val="1"/>
      <w:marLeft w:val="0"/>
      <w:marRight w:val="0"/>
      <w:marTop w:val="0"/>
      <w:marBottom w:val="0"/>
      <w:divBdr>
        <w:top w:val="none" w:sz="0" w:space="0" w:color="auto"/>
        <w:left w:val="none" w:sz="0" w:space="0" w:color="auto"/>
        <w:bottom w:val="none" w:sz="0" w:space="0" w:color="auto"/>
        <w:right w:val="none" w:sz="0" w:space="0" w:color="auto"/>
      </w:divBdr>
    </w:div>
    <w:div w:id="1303003783">
      <w:bodyDiv w:val="1"/>
      <w:marLeft w:val="0"/>
      <w:marRight w:val="0"/>
      <w:marTop w:val="0"/>
      <w:marBottom w:val="0"/>
      <w:divBdr>
        <w:top w:val="none" w:sz="0" w:space="0" w:color="auto"/>
        <w:left w:val="none" w:sz="0" w:space="0" w:color="auto"/>
        <w:bottom w:val="none" w:sz="0" w:space="0" w:color="auto"/>
        <w:right w:val="none" w:sz="0" w:space="0" w:color="auto"/>
      </w:divBdr>
    </w:div>
    <w:div w:id="1331785615">
      <w:bodyDiv w:val="1"/>
      <w:marLeft w:val="0"/>
      <w:marRight w:val="0"/>
      <w:marTop w:val="0"/>
      <w:marBottom w:val="0"/>
      <w:divBdr>
        <w:top w:val="none" w:sz="0" w:space="0" w:color="auto"/>
        <w:left w:val="none" w:sz="0" w:space="0" w:color="auto"/>
        <w:bottom w:val="none" w:sz="0" w:space="0" w:color="auto"/>
        <w:right w:val="none" w:sz="0" w:space="0" w:color="auto"/>
      </w:divBdr>
    </w:div>
    <w:div w:id="1844515218">
      <w:bodyDiv w:val="1"/>
      <w:marLeft w:val="0"/>
      <w:marRight w:val="0"/>
      <w:marTop w:val="0"/>
      <w:marBottom w:val="0"/>
      <w:divBdr>
        <w:top w:val="none" w:sz="0" w:space="0" w:color="auto"/>
        <w:left w:val="none" w:sz="0" w:space="0" w:color="auto"/>
        <w:bottom w:val="none" w:sz="0" w:space="0" w:color="auto"/>
        <w:right w:val="none" w:sz="0" w:space="0" w:color="auto"/>
      </w:divBdr>
    </w:div>
    <w:div w:id="1856919825">
      <w:bodyDiv w:val="1"/>
      <w:marLeft w:val="0"/>
      <w:marRight w:val="0"/>
      <w:marTop w:val="0"/>
      <w:marBottom w:val="0"/>
      <w:divBdr>
        <w:top w:val="none" w:sz="0" w:space="0" w:color="auto"/>
        <w:left w:val="none" w:sz="0" w:space="0" w:color="auto"/>
        <w:bottom w:val="none" w:sz="0" w:space="0" w:color="auto"/>
        <w:right w:val="none" w:sz="0" w:space="0" w:color="auto"/>
      </w:divBdr>
    </w:div>
    <w:div w:id="1864516717">
      <w:bodyDiv w:val="1"/>
      <w:marLeft w:val="0"/>
      <w:marRight w:val="0"/>
      <w:marTop w:val="0"/>
      <w:marBottom w:val="0"/>
      <w:divBdr>
        <w:top w:val="none" w:sz="0" w:space="0" w:color="auto"/>
        <w:left w:val="none" w:sz="0" w:space="0" w:color="auto"/>
        <w:bottom w:val="none" w:sz="0" w:space="0" w:color="auto"/>
        <w:right w:val="none" w:sz="0" w:space="0" w:color="auto"/>
      </w:divBdr>
    </w:div>
    <w:div w:id="1956014927">
      <w:bodyDiv w:val="1"/>
      <w:marLeft w:val="0"/>
      <w:marRight w:val="0"/>
      <w:marTop w:val="0"/>
      <w:marBottom w:val="0"/>
      <w:divBdr>
        <w:top w:val="none" w:sz="0" w:space="0" w:color="auto"/>
        <w:left w:val="none" w:sz="0" w:space="0" w:color="auto"/>
        <w:bottom w:val="none" w:sz="0" w:space="0" w:color="auto"/>
        <w:right w:val="none" w:sz="0" w:space="0" w:color="auto"/>
      </w:divBdr>
    </w:div>
    <w:div w:id="1966081716">
      <w:bodyDiv w:val="1"/>
      <w:marLeft w:val="0"/>
      <w:marRight w:val="0"/>
      <w:marTop w:val="0"/>
      <w:marBottom w:val="0"/>
      <w:divBdr>
        <w:top w:val="none" w:sz="0" w:space="0" w:color="auto"/>
        <w:left w:val="none" w:sz="0" w:space="0" w:color="auto"/>
        <w:bottom w:val="none" w:sz="0" w:space="0" w:color="auto"/>
        <w:right w:val="none" w:sz="0" w:space="0" w:color="auto"/>
      </w:divBdr>
      <w:divsChild>
        <w:div w:id="756177406">
          <w:marLeft w:val="0"/>
          <w:marRight w:val="0"/>
          <w:marTop w:val="0"/>
          <w:marBottom w:val="0"/>
          <w:divBdr>
            <w:top w:val="none" w:sz="0" w:space="0" w:color="auto"/>
            <w:left w:val="none" w:sz="0" w:space="0" w:color="auto"/>
            <w:bottom w:val="none" w:sz="0" w:space="0" w:color="auto"/>
            <w:right w:val="none" w:sz="0" w:space="0" w:color="auto"/>
          </w:divBdr>
        </w:div>
      </w:divsChild>
    </w:div>
    <w:div w:id="2086803794">
      <w:bodyDiv w:val="1"/>
      <w:marLeft w:val="0"/>
      <w:marRight w:val="0"/>
      <w:marTop w:val="0"/>
      <w:marBottom w:val="0"/>
      <w:divBdr>
        <w:top w:val="none" w:sz="0" w:space="0" w:color="auto"/>
        <w:left w:val="none" w:sz="0" w:space="0" w:color="auto"/>
        <w:bottom w:val="none" w:sz="0" w:space="0" w:color="auto"/>
        <w:right w:val="none" w:sz="0" w:space="0" w:color="auto"/>
      </w:divBdr>
      <w:divsChild>
        <w:div w:id="306519619">
          <w:marLeft w:val="0"/>
          <w:marRight w:val="0"/>
          <w:marTop w:val="0"/>
          <w:marBottom w:val="0"/>
          <w:divBdr>
            <w:top w:val="none" w:sz="0" w:space="0" w:color="auto"/>
            <w:left w:val="none" w:sz="0" w:space="0" w:color="auto"/>
            <w:bottom w:val="none" w:sz="0" w:space="0" w:color="auto"/>
            <w:right w:val="none" w:sz="0" w:space="0" w:color="auto"/>
          </w:divBdr>
        </w:div>
      </w:divsChild>
    </w:div>
    <w:div w:id="2090879272">
      <w:bodyDiv w:val="1"/>
      <w:marLeft w:val="0"/>
      <w:marRight w:val="0"/>
      <w:marTop w:val="0"/>
      <w:marBottom w:val="0"/>
      <w:divBdr>
        <w:top w:val="none" w:sz="0" w:space="0" w:color="auto"/>
        <w:left w:val="none" w:sz="0" w:space="0" w:color="auto"/>
        <w:bottom w:val="none" w:sz="0" w:space="0" w:color="auto"/>
        <w:right w:val="none" w:sz="0" w:space="0" w:color="auto"/>
      </w:divBdr>
    </w:div>
    <w:div w:id="212896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8476A-2C33-4127-94E6-B874EEE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5994</Words>
  <Characters>34169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Shakaib</dc:creator>
  <cp:lastModifiedBy>isp</cp:lastModifiedBy>
  <cp:revision>16</cp:revision>
  <cp:lastPrinted>2016-07-05T06:57:00Z</cp:lastPrinted>
  <dcterms:created xsi:type="dcterms:W3CDTF">2016-07-05T06:47:00Z</dcterms:created>
  <dcterms:modified xsi:type="dcterms:W3CDTF">2016-07-05T06:58:00Z</dcterms:modified>
</cp:coreProperties>
</file>